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C1" w:rsidRDefault="00AA23C1">
      <w:pPr>
        <w:pStyle w:val="ConsPlusTitle"/>
        <w:jc w:val="center"/>
      </w:pPr>
      <w:bookmarkStart w:id="0" w:name="_GoBack"/>
      <w:bookmarkEnd w:id="0"/>
      <w:r>
        <w:t>МИНИСТЕРСТВО ЦИФРОВОГО РАЗВИТИЯ, СВЯЗИ</w:t>
      </w:r>
    </w:p>
    <w:p w:rsidR="00AA23C1" w:rsidRDefault="00AA23C1">
      <w:pPr>
        <w:pStyle w:val="ConsPlusTitle"/>
        <w:jc w:val="center"/>
      </w:pPr>
      <w:r>
        <w:t>И МАССОВЫХ КОММУНИКАЦИЙ РОССИЙСКОЙ ФЕДЕРАЦИИ</w:t>
      </w:r>
    </w:p>
    <w:p w:rsidR="00AA23C1" w:rsidRDefault="00AA23C1">
      <w:pPr>
        <w:pStyle w:val="ConsPlusTitle"/>
        <w:jc w:val="center"/>
      </w:pPr>
    </w:p>
    <w:p w:rsidR="00AA23C1" w:rsidRDefault="00AA23C1">
      <w:pPr>
        <w:pStyle w:val="ConsPlusTitle"/>
        <w:jc w:val="center"/>
      </w:pPr>
      <w:r>
        <w:t>ФЕДЕРАЛЬНАЯ СЛУЖБА ПО НАДЗОРУ В СФЕРЕ СВЯЗИ,</w:t>
      </w:r>
    </w:p>
    <w:p w:rsidR="00AA23C1" w:rsidRDefault="00AA23C1">
      <w:pPr>
        <w:pStyle w:val="ConsPlusTitle"/>
        <w:jc w:val="center"/>
      </w:pPr>
      <w:r>
        <w:t>ИНФОРМАЦИОННЫХ ТЕХНОЛОГИЙ И МАССОВЫХ КОММУНИКАЦИЙ</w:t>
      </w:r>
    </w:p>
    <w:p w:rsidR="00AA23C1" w:rsidRDefault="00AA23C1">
      <w:pPr>
        <w:pStyle w:val="ConsPlusTitle"/>
        <w:jc w:val="center"/>
      </w:pPr>
    </w:p>
    <w:p w:rsidR="00AA23C1" w:rsidRDefault="00AA23C1">
      <w:pPr>
        <w:pStyle w:val="ConsPlusTitle"/>
        <w:jc w:val="center"/>
      </w:pPr>
      <w:r>
        <w:t>ПРИКАЗ</w:t>
      </w:r>
    </w:p>
    <w:p w:rsidR="00AA23C1" w:rsidRDefault="00AA23C1">
      <w:pPr>
        <w:pStyle w:val="ConsPlusTitle"/>
        <w:jc w:val="center"/>
      </w:pPr>
      <w:r>
        <w:t>от 27 октября 2022 г. N 178</w:t>
      </w:r>
    </w:p>
    <w:p w:rsidR="00AA23C1" w:rsidRDefault="00AA23C1">
      <w:pPr>
        <w:pStyle w:val="ConsPlusTitle"/>
        <w:jc w:val="center"/>
      </w:pPr>
    </w:p>
    <w:p w:rsidR="00AA23C1" w:rsidRDefault="00AA23C1">
      <w:pPr>
        <w:pStyle w:val="ConsPlusTitle"/>
        <w:jc w:val="center"/>
      </w:pPr>
      <w:r>
        <w:t>ОБ УТВЕРЖДЕНИИ ТРЕБОВАНИЙ</w:t>
      </w:r>
    </w:p>
    <w:p w:rsidR="00AA23C1" w:rsidRDefault="00AA23C1">
      <w:pPr>
        <w:pStyle w:val="ConsPlusTitle"/>
        <w:jc w:val="center"/>
      </w:pPr>
      <w:r>
        <w:t>К ОЦЕНКЕ ВРЕДА, КОТОРЫЙ МОЖЕТ БЫТЬ ПРИЧИНЕН СУБЪЕКТАМ</w:t>
      </w:r>
    </w:p>
    <w:p w:rsidR="00AA23C1" w:rsidRDefault="00AA23C1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AA23C1" w:rsidRDefault="00AA23C1">
      <w:pPr>
        <w:pStyle w:val="ConsPlusTitle"/>
        <w:jc w:val="center"/>
      </w:pPr>
      <w:r>
        <w:t>"О ПЕРСОНАЛЬНЫХ ДАННЫХ"</w:t>
      </w:r>
    </w:p>
    <w:p w:rsidR="00AA23C1" w:rsidRDefault="00AA23C1">
      <w:pPr>
        <w:pStyle w:val="ConsPlusNormal"/>
        <w:jc w:val="center"/>
      </w:pPr>
    </w:p>
    <w:p w:rsidR="00AA23C1" w:rsidRDefault="00AA23C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r:id="rId5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Требования</w:t>
        </w:r>
      </w:hyperlink>
      <w:r>
        <w:t xml:space="preserve"> к оценке вреда, который может быть причинен субъектам персональных данных в случае нарушения Федерального закона "О персональных данных".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jc w:val="right"/>
      </w:pPr>
      <w:r>
        <w:t>Руководитель</w:t>
      </w:r>
    </w:p>
    <w:p w:rsidR="00AA23C1" w:rsidRDefault="00AA23C1">
      <w:pPr>
        <w:pStyle w:val="ConsPlusNormal"/>
        <w:jc w:val="right"/>
      </w:pPr>
      <w:r>
        <w:t>А.Ю.ЛИПОВ</w:t>
      </w:r>
    </w:p>
    <w:p w:rsidR="00AA23C1" w:rsidRDefault="00AA23C1">
      <w:pPr>
        <w:pStyle w:val="ConsPlusNormal"/>
        <w:jc w:val="both"/>
      </w:pPr>
    </w:p>
    <w:p w:rsidR="00AA23C1" w:rsidRDefault="00AA23C1">
      <w:pPr>
        <w:pStyle w:val="ConsPlusNormal"/>
        <w:jc w:val="both"/>
      </w:pPr>
    </w:p>
    <w:p w:rsidR="00AA23C1" w:rsidRDefault="00AA23C1">
      <w:pPr>
        <w:pStyle w:val="ConsPlusNormal"/>
        <w:jc w:val="both"/>
      </w:pPr>
    </w:p>
    <w:p w:rsidR="00AA23C1" w:rsidRDefault="00AA23C1">
      <w:pPr>
        <w:pStyle w:val="ConsPlusNormal"/>
        <w:jc w:val="both"/>
      </w:pPr>
    </w:p>
    <w:p w:rsidR="00AA23C1" w:rsidRDefault="00AA23C1">
      <w:pPr>
        <w:pStyle w:val="ConsPlusNormal"/>
        <w:jc w:val="both"/>
      </w:pPr>
    </w:p>
    <w:p w:rsidR="00AA23C1" w:rsidRDefault="00AA23C1">
      <w:pPr>
        <w:pStyle w:val="ConsPlusNormal"/>
        <w:jc w:val="right"/>
        <w:outlineLvl w:val="0"/>
      </w:pPr>
      <w:r>
        <w:t>Утверждены</w:t>
      </w:r>
    </w:p>
    <w:p w:rsidR="00AA23C1" w:rsidRDefault="00AA23C1">
      <w:pPr>
        <w:pStyle w:val="ConsPlusNormal"/>
        <w:jc w:val="right"/>
      </w:pPr>
      <w:r>
        <w:t>приказом Федеральной службы</w:t>
      </w:r>
    </w:p>
    <w:p w:rsidR="00AA23C1" w:rsidRDefault="00AA23C1">
      <w:pPr>
        <w:pStyle w:val="ConsPlusNormal"/>
        <w:jc w:val="right"/>
      </w:pPr>
      <w:r>
        <w:t>по надзору в сфере связи,</w:t>
      </w:r>
    </w:p>
    <w:p w:rsidR="00AA23C1" w:rsidRDefault="00AA23C1">
      <w:pPr>
        <w:pStyle w:val="ConsPlusNormal"/>
        <w:jc w:val="right"/>
      </w:pPr>
      <w:r>
        <w:t>информационных технологий</w:t>
      </w:r>
    </w:p>
    <w:p w:rsidR="00AA23C1" w:rsidRDefault="00AA23C1">
      <w:pPr>
        <w:pStyle w:val="ConsPlusNormal"/>
        <w:jc w:val="right"/>
      </w:pPr>
      <w:r>
        <w:t>и массовых коммуникаций</w:t>
      </w:r>
    </w:p>
    <w:p w:rsidR="00AA23C1" w:rsidRDefault="00AA23C1">
      <w:pPr>
        <w:pStyle w:val="ConsPlusNormal"/>
        <w:jc w:val="right"/>
      </w:pPr>
      <w:r>
        <w:t>от 27.10.2022 N 178</w:t>
      </w:r>
    </w:p>
    <w:p w:rsidR="00AA23C1" w:rsidRDefault="00AA23C1">
      <w:pPr>
        <w:pStyle w:val="ConsPlusNormal"/>
        <w:jc w:val="both"/>
      </w:pPr>
    </w:p>
    <w:p w:rsidR="00AA23C1" w:rsidRDefault="00AA23C1">
      <w:pPr>
        <w:pStyle w:val="ConsPlusTitle"/>
        <w:jc w:val="center"/>
      </w:pPr>
      <w:bookmarkStart w:id="1" w:name="P36"/>
      <w:bookmarkEnd w:id="1"/>
      <w:r>
        <w:t>ТРЕБОВАНИЯ</w:t>
      </w:r>
    </w:p>
    <w:p w:rsidR="00AA23C1" w:rsidRDefault="00AA23C1">
      <w:pPr>
        <w:pStyle w:val="ConsPlusTitle"/>
        <w:jc w:val="center"/>
      </w:pPr>
      <w:r>
        <w:t>К ОЦЕНКЕ ВРЕДА, КОТОРЫЙ МОЖЕТ БЫТЬ ПРИЧИНЕН СУБЪЕКТАМ</w:t>
      </w:r>
    </w:p>
    <w:p w:rsidR="00AA23C1" w:rsidRDefault="00AA23C1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AA23C1" w:rsidRDefault="00AA23C1">
      <w:pPr>
        <w:pStyle w:val="ConsPlusTitle"/>
        <w:jc w:val="center"/>
      </w:pPr>
      <w:r>
        <w:t>"О ПЕРСОНАЛЬНЫХ ДАННЫХ"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r>
        <w:t xml:space="preserve">1. Оценка вреда, который может быть причинен субъектам персональных данных в случае нарушения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2006, N 31, ст. 3451; 2022, N 29, ст. </w:t>
      </w:r>
      <w:r>
        <w:lastRenderedPageBreak/>
        <w:t>5233 (далее - Закон о персональных данных).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Пункт 2 статьи 3</w:t>
        </w:r>
      </w:hyperlink>
      <w:r>
        <w:t xml:space="preserve"> Закона о персональных данных (Собрание законодательства Российской Федерации, 2006, N 31, ст. 3451; 2011, N 31, ст. 4701).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r:id="rId8">
        <w:r>
          <w:rPr>
            <w:color w:val="0000FF"/>
          </w:rPr>
          <w:t>Закона</w:t>
        </w:r>
      </w:hyperlink>
      <w:r>
        <w:t xml:space="preserve"> о персональных данных:</w:t>
      </w:r>
    </w:p>
    <w:p w:rsidR="00AA23C1" w:rsidRDefault="00AA23C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2.1. Высокую в случаях: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обработки персональных данных несовершеннолетних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 &lt;3&gt;;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>
        <w:r>
          <w:rPr>
            <w:color w:val="0000FF"/>
          </w:rPr>
          <w:t>Пункт 5 части 1 статьи 6</w:t>
        </w:r>
      </w:hyperlink>
      <w:r>
        <w:t xml:space="preserve"> Закона о персональных данных (Собрание законодательства Российской Федерации, 2006, N 31, ст. 3451; 2022, N 29, ст. 5233).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r>
        <w:t>обезличивания персональных данных, в том числе с целью проведения оценочных (</w:t>
      </w:r>
      <w:proofErr w:type="spellStart"/>
      <w:r>
        <w:t>скоринговых</w:t>
      </w:r>
      <w:proofErr w:type="spellEnd"/>
      <w:r>
        <w:t xml:space="preserve">) исследований, оказания услуг по прогнозированию поведения потребителей товаров и услуг, а также иных исследований, не предусмотренных </w:t>
      </w:r>
      <w:hyperlink r:id="rId10">
        <w:r>
          <w:rPr>
            <w:color w:val="0000FF"/>
          </w:rPr>
          <w:t>пунктом 9 части 1 статьи 6</w:t>
        </w:r>
      </w:hyperlink>
      <w:r>
        <w:t xml:space="preserve"> Закона о персональных данных &lt;4&gt;;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2006, N 31, ст. 3451; 2011, N 31, ст. 4701.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сбора персональных данных с использованием баз данных, находящихся за пределами Российской Федерации.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2.2. Среднюю в случаях: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lastRenderedPageBreak/>
        <w:t>обработки персональных данных в дополнительных целях, отличных от первоначальной цели сбора;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 &lt;5&gt;.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>
        <w:r>
          <w:rPr>
            <w:color w:val="0000FF"/>
          </w:rPr>
          <w:t>Часть 2 статьи 5</w:t>
        </w:r>
      </w:hyperlink>
      <w:r>
        <w:t xml:space="preserve"> Закона о персональных данных (Собрание законодательства Российской Федерации, 2006, N 31, ст. 3451; 2011, N 31, ст. 4701).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bookmarkStart w:id="3" w:name="P69"/>
      <w:bookmarkEnd w:id="3"/>
      <w:r>
        <w:t>2.3. Низкую в случаях: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ведения общедоступных источников персональных данных, сформированных в соответствии со </w:t>
      </w:r>
      <w:hyperlink r:id="rId12">
        <w:r>
          <w:rPr>
            <w:color w:val="0000FF"/>
          </w:rPr>
          <w:t>статьей 8</w:t>
        </w:r>
      </w:hyperlink>
      <w:r>
        <w:t xml:space="preserve"> Закона о персональных данных &lt;6&gt;;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2006, N 31, ст. 3451; 2011, N 31, ст. 4701.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r>
        <w:t>назначения в качестве ответственного за обработку персональных данных лица, не являющегося штатным сотрудником оператора.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3. Результаты оценки вреда оформляются актом оценки вреда.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4. Акт оценки вреда должен содержать: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а) наименование или фамилию, имя, отчество (при наличии) и адрес оператора;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б) дату издания акта оценки вреда;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в) дату проведения оценки вреда;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г) фамилию, имя, отчество (при наличии), должность лиц (лица) (при наличии), проводивших оценку вреда, а также их (его) подпись;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 xml:space="preserve">д) степень вреда, которая может быть причинена субъекту персональных данных, в соответствии с </w:t>
      </w:r>
      <w:hyperlink w:anchor="P47">
        <w:r>
          <w:rPr>
            <w:color w:val="0000FF"/>
          </w:rPr>
          <w:t>подпунктами 2.1</w:t>
        </w:r>
      </w:hyperlink>
      <w:r>
        <w:t xml:space="preserve"> - </w:t>
      </w:r>
      <w:hyperlink w:anchor="P69">
        <w:r>
          <w:rPr>
            <w:color w:val="0000FF"/>
          </w:rPr>
          <w:t>2.3 пункта 2</w:t>
        </w:r>
      </w:hyperlink>
      <w:r>
        <w:t xml:space="preserve"> настоящих Требований.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5. Акт оценки вреда в электронной форме, подписанный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23C1" w:rsidRDefault="00AA23C1">
      <w:pPr>
        <w:pStyle w:val="ConsPlusNormal"/>
        <w:spacing w:before="220"/>
        <w:ind w:firstLine="540"/>
        <w:jc w:val="both"/>
      </w:pPr>
      <w:r>
        <w:lastRenderedPageBreak/>
        <w:t xml:space="preserve">&lt;7&gt;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  <w:r>
        <w:t xml:space="preserve"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anchor="P47">
        <w:r>
          <w:rPr>
            <w:color w:val="0000FF"/>
          </w:rPr>
          <w:t>подпунктами 2.1</w:t>
        </w:r>
      </w:hyperlink>
      <w:r>
        <w:t xml:space="preserve"> - </w:t>
      </w:r>
      <w:hyperlink w:anchor="P69">
        <w:r>
          <w:rPr>
            <w:color w:val="0000FF"/>
          </w:rPr>
          <w:t>2.3 пункта 2</w:t>
        </w:r>
      </w:hyperlink>
      <w: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ind w:firstLine="540"/>
        <w:jc w:val="both"/>
      </w:pPr>
    </w:p>
    <w:p w:rsidR="00AA23C1" w:rsidRDefault="00AA23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8D" w:rsidRDefault="00AA23C1"/>
    <w:sectPr w:rsidR="0043248D" w:rsidSect="0047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922229"/>
    <w:rsid w:val="00AA23C1"/>
    <w:rsid w:val="00A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C399-A358-43E0-BCCA-7978880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23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23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468B8222BCCCAE3704209055B0E56A3E4A2702BDE7237DCAD5207DFED6705AC9ADDEDFBED64A986F82AE73D435F" TargetMode="External"/><Relationship Id="rId13" Type="http://schemas.openxmlformats.org/officeDocument/2006/relationships/hyperlink" Target="consultantplus://offline/ref=A6CF468B8222BCCCAE3704209055B0E56A3F4D2D0EBBE7237DCAD5207DFED6705AC9ADDEDFBED64A986F82AE73D43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F468B8222BCCCAE3704209055B0E56A3E4A2702BDE7237DCAD5207DFED67048C9F5D2DFBCCA49937AD4FF3513D926280BBF1F49EA0CD4DE34F" TargetMode="External"/><Relationship Id="rId12" Type="http://schemas.openxmlformats.org/officeDocument/2006/relationships/hyperlink" Target="consultantplus://offline/ref=A6CF468B8222BCCCAE3704209055B0E56A3E4A2702BDE7237DCAD5207DFED67048C9F5D2DFBCC84C987AD4FF3513D926280BBF1F49EA0CD4DE3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F468B8222BCCCAE3704209055B0E56A3E4A2D01B9E7237DCAD5207DFED67048C9F5D2DDB5C31ECA35D5A37144CA26290BBD1C55DE3BF" TargetMode="External"/><Relationship Id="rId11" Type="http://schemas.openxmlformats.org/officeDocument/2006/relationships/hyperlink" Target="consultantplus://offline/ref=A6CF468B8222BCCCAE3704209055B0E56A3E4A2702BDE7237DCAD5207DFED67048C9F5D2DFBCCA4F9A7AD4FF3513D926280BBF1F49EA0CD4DE34F" TargetMode="External"/><Relationship Id="rId5" Type="http://schemas.openxmlformats.org/officeDocument/2006/relationships/hyperlink" Target="consultantplus://offline/ref=A6CF468B8222BCCCAE3704209055B0E56A3D48210FB9E7237DCAD5207DFED67048C9F5D2DFBCC8499A7AD4FF3513D926280BBF1F49EA0CD4DE3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CF468B8222BCCCAE3704209055B0E56A3E4A2702BDE7237DCAD5207DFED67048C9F5D2DFBCCA4C9C7AD4FF3513D926280BBF1F49EA0CD4DE34F" TargetMode="External"/><Relationship Id="rId4" Type="http://schemas.openxmlformats.org/officeDocument/2006/relationships/hyperlink" Target="consultantplus://offline/ref=A6CF468B8222BCCCAE3704209055B0E56A3E4A2D01B9E7237DCAD5207DFED67048C9F5D2DDB5C31ECA35D5A37144CA26290BBD1C55DE3BF" TargetMode="External"/><Relationship Id="rId9" Type="http://schemas.openxmlformats.org/officeDocument/2006/relationships/hyperlink" Target="consultantplus://offline/ref=A6CF468B8222BCCCAE3704209055B0E56A3E4A2702BDE7237DCAD5207DFED67048C9F5D5DBB79C1BDF248DAE7358D4253417BF1ED53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Александр Леонидович</dc:creator>
  <cp:keywords/>
  <dc:description/>
  <cp:lastModifiedBy>Савченко Александр Леонидович</cp:lastModifiedBy>
  <cp:revision>1</cp:revision>
  <dcterms:created xsi:type="dcterms:W3CDTF">2023-03-02T05:55:00Z</dcterms:created>
  <dcterms:modified xsi:type="dcterms:W3CDTF">2023-03-02T05:55:00Z</dcterms:modified>
</cp:coreProperties>
</file>