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71" w:rsidRDefault="003E3371">
      <w:pPr>
        <w:pStyle w:val="ConsPlusNormal"/>
      </w:pPr>
      <w:bookmarkStart w:id="0" w:name="_GoBack"/>
      <w:bookmarkEnd w:id="0"/>
    </w:p>
    <w:p w:rsidR="003E3371" w:rsidRDefault="003E3371">
      <w:pPr>
        <w:pStyle w:val="ConsPlusTitle"/>
        <w:jc w:val="center"/>
      </w:pPr>
      <w:r>
        <w:t>МИНИСТЕРСТВО ЦИФРОВОГО РАЗВИТИЯ, СВЯЗИ</w:t>
      </w:r>
    </w:p>
    <w:p w:rsidR="003E3371" w:rsidRDefault="003E3371">
      <w:pPr>
        <w:pStyle w:val="ConsPlusTitle"/>
        <w:jc w:val="center"/>
      </w:pPr>
      <w:r>
        <w:t>И МАССОВЫХ КОММУНИКАЦИЙ РОССИЙСКОЙ ФЕДЕРАЦИИ</w:t>
      </w:r>
    </w:p>
    <w:p w:rsidR="003E3371" w:rsidRDefault="003E3371">
      <w:pPr>
        <w:pStyle w:val="ConsPlusTitle"/>
        <w:jc w:val="center"/>
      </w:pPr>
    </w:p>
    <w:p w:rsidR="003E3371" w:rsidRDefault="003E3371">
      <w:pPr>
        <w:pStyle w:val="ConsPlusTitle"/>
        <w:jc w:val="center"/>
      </w:pPr>
      <w:r>
        <w:t>ФЕДЕРАЛЬНАЯ СЛУЖБА ПО НАДЗОРУ В СФЕРЕ СВЯЗИ,</w:t>
      </w:r>
    </w:p>
    <w:p w:rsidR="003E3371" w:rsidRDefault="003E3371">
      <w:pPr>
        <w:pStyle w:val="ConsPlusTitle"/>
        <w:jc w:val="center"/>
      </w:pPr>
      <w:r>
        <w:t>ИНФОРМАЦИОННЫХ ТЕХНОЛОГИЙ И МАССОВЫХ КОММУНИКАЦИЙ</w:t>
      </w:r>
    </w:p>
    <w:p w:rsidR="003E3371" w:rsidRDefault="003E3371">
      <w:pPr>
        <w:pStyle w:val="ConsPlusTitle"/>
        <w:jc w:val="center"/>
      </w:pPr>
    </w:p>
    <w:p w:rsidR="003E3371" w:rsidRDefault="003E3371">
      <w:pPr>
        <w:pStyle w:val="ConsPlusTitle"/>
        <w:jc w:val="center"/>
      </w:pPr>
      <w:r>
        <w:t>ПРИКАЗ</w:t>
      </w:r>
    </w:p>
    <w:p w:rsidR="003E3371" w:rsidRDefault="003E3371">
      <w:pPr>
        <w:pStyle w:val="ConsPlusTitle"/>
        <w:jc w:val="center"/>
      </w:pPr>
      <w:r>
        <w:t>от 5 августа 2022 г. N 128</w:t>
      </w:r>
    </w:p>
    <w:p w:rsidR="003E3371" w:rsidRDefault="003E3371">
      <w:pPr>
        <w:pStyle w:val="ConsPlusTitle"/>
        <w:jc w:val="center"/>
      </w:pPr>
    </w:p>
    <w:p w:rsidR="003E3371" w:rsidRDefault="003E3371">
      <w:pPr>
        <w:pStyle w:val="ConsPlusTitle"/>
        <w:jc w:val="center"/>
      </w:pPr>
      <w:r>
        <w:t>ОБ УТВЕРЖДЕНИИ ПЕРЕЧНЯ</w:t>
      </w:r>
    </w:p>
    <w:p w:rsidR="003E3371" w:rsidRDefault="003E3371">
      <w:pPr>
        <w:pStyle w:val="ConsPlusTitle"/>
        <w:jc w:val="center"/>
      </w:pPr>
      <w:r>
        <w:t>ИНОСТРАННЫХ ГОСУДАРСТВ, ОБЕСПЕЧИВАЮЩИХ АДЕКВАТНУЮ ЗАЩИТУ</w:t>
      </w:r>
    </w:p>
    <w:p w:rsidR="003E3371" w:rsidRDefault="003E3371">
      <w:pPr>
        <w:pStyle w:val="ConsPlusTitle"/>
        <w:jc w:val="center"/>
      </w:pPr>
      <w:r>
        <w:t>ПРАВ СУБЪЕКТОВ ПЕРСОНАЛЬНЫХ ДАННЫХ</w:t>
      </w: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2 статьи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Официальный интернет-портал правовой информации http://pravo.gov.ru, 2022, 14 июля, N 0001202207140080), </w:t>
      </w:r>
      <w:hyperlink r:id="rId5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перечень</w:t>
        </w:r>
      </w:hyperlink>
      <w:r>
        <w:t xml:space="preserve"> иностранных государств, обеспечивающих адекватную защиту прав субъектов персональных данных.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 xml:space="preserve">от 15 марта 2013 г. </w:t>
      </w:r>
      <w:hyperlink r:id="rId6">
        <w:r>
          <w:rPr>
            <w:color w:val="0000FF"/>
          </w:rPr>
          <w:t>N 274</w:t>
        </w:r>
      </w:hyperlink>
      <w:r>
        <w:t xml:space="preserve">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 Министерством юстиции Российской Федерации 19 апреля 2013 г., регистрационный N 28212);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 xml:space="preserve">от 29 октября 2014 г. </w:t>
      </w:r>
      <w:hyperlink r:id="rId7">
        <w:r>
          <w:rPr>
            <w:color w:val="0000FF"/>
          </w:rPr>
          <w:t>N 152</w:t>
        </w:r>
      </w:hyperlink>
      <w:r>
        <w:t xml:space="preserve"> "О внесении изменений в приказ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 Министерством юстиции Российской Федерации 4 декабря 2014 г., регистрационный N 35084);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 xml:space="preserve">от 15 июня 2017 г. </w:t>
      </w:r>
      <w:hyperlink r:id="rId8">
        <w:r>
          <w:rPr>
            <w:color w:val="0000FF"/>
          </w:rPr>
          <w:t>N 105</w:t>
        </w:r>
      </w:hyperlink>
      <w:r>
        <w:t xml:space="preserve"> "О внесении изменений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утвержденный приказом Федеральной службы по надзору в сфере связи, информационных технологий и массовых коммуникаций от 15 марта 2013 г. N 274" (зарегистрирован Министерством юстиции Российской Федерации 8 августа 2017 г., регистрационный N 47709);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 xml:space="preserve">от 14 января 2019 г. </w:t>
      </w:r>
      <w:hyperlink r:id="rId9">
        <w:r>
          <w:rPr>
            <w:color w:val="0000FF"/>
          </w:rPr>
          <w:t>N 1</w:t>
        </w:r>
      </w:hyperlink>
      <w:r>
        <w:t xml:space="preserve"> "О внесении изменений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утвержденный приложением N 1 к приказу Федеральной службы по надзору в сфере связи, информационных технологий и массовых коммуникаций от 15 марта 2013 г. N 274" (зарегистрирован Министерством юстиции Российской Федерации 4 февраля 2019 г., </w:t>
      </w:r>
      <w:r>
        <w:lastRenderedPageBreak/>
        <w:t>регистрационный N 53673);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 xml:space="preserve">от 14 сентября 2021 г. </w:t>
      </w:r>
      <w:hyperlink r:id="rId10">
        <w:r>
          <w:rPr>
            <w:color w:val="0000FF"/>
          </w:rPr>
          <w:t>N 183</w:t>
        </w:r>
      </w:hyperlink>
      <w:r>
        <w:t xml:space="preserve"> "О внесении изменений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утвержденный приказом Федеральной службы по надзору в сфере связи, информационных технологий и массовых коммуникаций от 15 марта 2013 г. N 274" (зарегистрирован Министерством юстиции Российской Федерации 21 октября 2021 г., регистрационный N 65514).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2023 г.</w:t>
      </w: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Normal"/>
        <w:jc w:val="right"/>
      </w:pPr>
      <w:r>
        <w:t>Руководитель</w:t>
      </w:r>
    </w:p>
    <w:p w:rsidR="003E3371" w:rsidRDefault="003E3371">
      <w:pPr>
        <w:pStyle w:val="ConsPlusNormal"/>
        <w:jc w:val="right"/>
      </w:pPr>
      <w:r>
        <w:t>А.Ю.ЛИПОВ</w:t>
      </w: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Normal"/>
        <w:jc w:val="right"/>
        <w:outlineLvl w:val="0"/>
      </w:pPr>
      <w:r>
        <w:t>Утвержден</w:t>
      </w:r>
    </w:p>
    <w:p w:rsidR="003E3371" w:rsidRDefault="003E3371">
      <w:pPr>
        <w:pStyle w:val="ConsPlusNormal"/>
        <w:jc w:val="right"/>
      </w:pPr>
      <w:r>
        <w:t>приказом Федеральной службы</w:t>
      </w:r>
    </w:p>
    <w:p w:rsidR="003E3371" w:rsidRDefault="003E3371">
      <w:pPr>
        <w:pStyle w:val="ConsPlusNormal"/>
        <w:jc w:val="right"/>
      </w:pPr>
      <w:r>
        <w:t>по надзору в сфере связи,</w:t>
      </w:r>
    </w:p>
    <w:p w:rsidR="003E3371" w:rsidRDefault="003E3371">
      <w:pPr>
        <w:pStyle w:val="ConsPlusNormal"/>
        <w:jc w:val="right"/>
      </w:pPr>
      <w:r>
        <w:t>информационных технологий</w:t>
      </w:r>
    </w:p>
    <w:p w:rsidR="003E3371" w:rsidRDefault="003E3371">
      <w:pPr>
        <w:pStyle w:val="ConsPlusNormal"/>
        <w:jc w:val="right"/>
      </w:pPr>
      <w:r>
        <w:t>и массовых коммуникаций</w:t>
      </w:r>
    </w:p>
    <w:p w:rsidR="003E3371" w:rsidRDefault="003E3371">
      <w:pPr>
        <w:pStyle w:val="ConsPlusNormal"/>
        <w:jc w:val="right"/>
      </w:pPr>
      <w:r>
        <w:t>от 5 августа 2022 г. N 128</w:t>
      </w: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Title"/>
        <w:jc w:val="center"/>
      </w:pPr>
      <w:bookmarkStart w:id="1" w:name="P41"/>
      <w:bookmarkEnd w:id="1"/>
      <w:r>
        <w:t>ПЕРЕЧЕНЬ</w:t>
      </w:r>
    </w:p>
    <w:p w:rsidR="003E3371" w:rsidRDefault="003E3371">
      <w:pPr>
        <w:pStyle w:val="ConsPlusTitle"/>
        <w:jc w:val="center"/>
      </w:pPr>
      <w:r>
        <w:t>ИНОСТРАННЫХ ГОСУДАРСТВ, ОБЕСПЕЧИВАЮЩИХ АДЕКВАТНУЮ ЗАЩИТУ</w:t>
      </w:r>
    </w:p>
    <w:p w:rsidR="003E3371" w:rsidRDefault="003E3371">
      <w:pPr>
        <w:pStyle w:val="ConsPlusTitle"/>
        <w:jc w:val="center"/>
      </w:pPr>
      <w:r>
        <w:t>ПРАВ СУБЪЕКТОВ ПЕРСОНАЛЬНЫХ ДАННЫХ</w:t>
      </w:r>
    </w:p>
    <w:p w:rsidR="003E3371" w:rsidRDefault="003E3371">
      <w:pPr>
        <w:pStyle w:val="ConsPlusNormal"/>
        <w:jc w:val="center"/>
      </w:pPr>
    </w:p>
    <w:p w:rsidR="003E3371" w:rsidRDefault="003E3371">
      <w:pPr>
        <w:pStyle w:val="ConsPlusTitle"/>
        <w:ind w:firstLine="540"/>
        <w:jc w:val="both"/>
        <w:outlineLvl w:val="1"/>
      </w:pPr>
      <w:r>
        <w:t xml:space="preserve">1. Иностранные государства, являющиеся сторонами </w:t>
      </w:r>
      <w:hyperlink r:id="rId11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обработке персональных данных &lt;1&gt;: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2014, N 5, ст. 419. Ратифицирована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19 декабря 2005 г. N 160-ФЗ "О ратификации Конвенции Совета Европы о защите физических лиц при автоматизированной обработке персональных данных" (Собрание законодательства Российской Федерации, 2005, N 52, ст. 5573). Вступила в силу для Российской Федерации с 1 сентября 2013 г. Далее - Конвенция.</w:t>
      </w: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Normal"/>
        <w:ind w:firstLine="540"/>
        <w:jc w:val="both"/>
      </w:pPr>
      <w:r>
        <w:t>Австрийская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Аргентинская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Босния и Герцеговина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Буркина-Фасо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Великое Герцогство Люксембург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Венгрия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Восточная Республика Уругвай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Греческая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lastRenderedPageBreak/>
        <w:t>Грузия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Ирландия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Итальянская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Княжество Андорра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Княжество Лихтенштейн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Княжество Монако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Королевство Бельгия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Королевство Дания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Королевство Испания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Королевство Марокко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Королевство Нидерландов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Королевство Норвегия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Королевство Швеция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Латвийская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Литовская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Мексиканские Соединенные Штаты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Португальская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Азербайджан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Албания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Армения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Болгария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Исландия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Кабо-Верде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Кипр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Маврикий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Мальта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Молдова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Польша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Сан-Марино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Северная Македония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lastRenderedPageBreak/>
        <w:t>Республика Сенегал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Сербия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Словения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Хорватия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Румыния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Словацкая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Соединенное Королевство Великобритании и Северной Ирландии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Тунисская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Турецкая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Украина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Федеративная Республика Германия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Финляндская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Французская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Черногория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Чешская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Швейцарская Конфедерация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Эстонская Республика</w:t>
      </w: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Title"/>
        <w:ind w:firstLine="540"/>
        <w:jc w:val="both"/>
        <w:outlineLvl w:val="1"/>
      </w:pPr>
      <w:r>
        <w:t xml:space="preserve">2. Иностранные государства, не являющиеся сторонами </w:t>
      </w:r>
      <w:hyperlink r:id="rId13">
        <w:r>
          <w:rPr>
            <w:color w:val="0000FF"/>
          </w:rPr>
          <w:t>Конвенции</w:t>
        </w:r>
      </w:hyperlink>
      <w:r>
        <w:t xml:space="preserve">, действующие нормы права которых, а также применяемые ими меры по обеспечению конфиденциальности и безопасности персональных данных при их обработке соответствуют положениям </w:t>
      </w:r>
      <w:hyperlink r:id="rId14">
        <w:r>
          <w:rPr>
            <w:color w:val="0000FF"/>
          </w:rPr>
          <w:t>Конвенции</w:t>
        </w:r>
      </w:hyperlink>
      <w:r>
        <w:t>: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Австралия - Австралийский союз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Габонская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Государство Израиль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Государство Катар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Канада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Киргизская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Китайская Народная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Королевство Таиланд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Малайзия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Монголия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Народная Республика Бангладеш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lastRenderedPageBreak/>
        <w:t>Новая Зеландия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Ангола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Беларусь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Бенин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Замбия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Индия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Казахстан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Коста-Рика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Корея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Кот-Д'Ивуар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Мали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Нигер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Перу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Сингапур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Таджикистан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Узбекистан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Республика Чад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Социалистическая Республика Вьетнам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Тоголезская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Федеративная Республика Бразилия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Федеративная Республика Нигерия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Южно-Африканская Республика</w:t>
      </w:r>
    </w:p>
    <w:p w:rsidR="003E3371" w:rsidRDefault="003E3371">
      <w:pPr>
        <w:pStyle w:val="ConsPlusNormal"/>
        <w:spacing w:before="220"/>
        <w:ind w:firstLine="540"/>
        <w:jc w:val="both"/>
      </w:pPr>
      <w:r>
        <w:t>Япония</w:t>
      </w: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Normal"/>
        <w:ind w:firstLine="540"/>
        <w:jc w:val="both"/>
      </w:pPr>
    </w:p>
    <w:p w:rsidR="003E3371" w:rsidRDefault="003E33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48D" w:rsidRDefault="003E3371"/>
    <w:sectPr w:rsidR="0043248D" w:rsidSect="000F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71"/>
    <w:rsid w:val="003E3371"/>
    <w:rsid w:val="00922229"/>
    <w:rsid w:val="00A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7B51-C8B8-46CE-978C-C2FA067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3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33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BD247D15BC3B44BC493A29388ECF1584069F6EA8CDBC13C118BD850B8537EA85E6DA23404502B9AD3005BD04VDy1F" TargetMode="External"/><Relationship Id="rId13" Type="http://schemas.openxmlformats.org/officeDocument/2006/relationships/hyperlink" Target="consultantplus://offline/ref=15BD247D15BC3B44BC493A29388ECF1587069C68A9C5BC13C118BD850B8537EA85E6DA23404502B9AD3005BD04VDy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BD247D15BC3B44BC493A29388ECF1587039F6CA7CCBC13C118BD850B8537EA85E6DA23404502B9AD3005BD04VDy1F" TargetMode="External"/><Relationship Id="rId12" Type="http://schemas.openxmlformats.org/officeDocument/2006/relationships/hyperlink" Target="consultantplus://offline/ref=15BD247D15BC3B44BC493A29388ECF1583039C69A3C7E119C941B1870C8A68EF90F7822E42591CBAB02C07BFV0y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BD247D15BC3B44BC493A29388ECF15850D9565A0CCBC13C118BD850B8537EA85E6DA23404502B9AD3005BD04VDy1F" TargetMode="External"/><Relationship Id="rId11" Type="http://schemas.openxmlformats.org/officeDocument/2006/relationships/hyperlink" Target="consultantplus://offline/ref=15BD247D15BC3B44BC493A29388ECF1587069C68A9C5BC13C118BD850B8537EA85E6DA23404502B9AD3005BD04VDy1F" TargetMode="External"/><Relationship Id="rId5" Type="http://schemas.openxmlformats.org/officeDocument/2006/relationships/hyperlink" Target="consultantplus://offline/ref=15BD247D15BC3B44BC493A29388ECF1582059D68A9C9BC13C118BD850B8537EA97E6822F40471CBAAF2553EC42874E23AFF95BD7E545A60EV0y2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BD247D15BC3B44BC493A29388ECF15850D9564A3CABC13C118BD850B8537EA85E6DA23404502B9AD3005BD04VDy1F" TargetMode="External"/><Relationship Id="rId4" Type="http://schemas.openxmlformats.org/officeDocument/2006/relationships/hyperlink" Target="consultantplus://offline/ref=15BD247D15BC3B44BC493A29388ECF1582069F64A7C9BC13C118BD850B8537EA97E6822F404617EDFF6A52B006D05D23AEF959D4F9V4y4F" TargetMode="External"/><Relationship Id="rId9" Type="http://schemas.openxmlformats.org/officeDocument/2006/relationships/hyperlink" Target="consultantplus://offline/ref=15BD247D15BC3B44BC493A29388ECF1585059A68A8CFBC13C118BD850B8537EA85E6DA23404502B9AD3005BD04VDy1F" TargetMode="External"/><Relationship Id="rId14" Type="http://schemas.openxmlformats.org/officeDocument/2006/relationships/hyperlink" Target="consultantplus://offline/ref=15BD247D15BC3B44BC493A29388ECF1587069C68A9C5BC13C118BD850B8537EA85E6DA23404502B9AD3005BD04VD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Александр Леонидович</dc:creator>
  <cp:keywords/>
  <dc:description/>
  <cp:lastModifiedBy>Савченко Александр Леонидович</cp:lastModifiedBy>
  <cp:revision>1</cp:revision>
  <dcterms:created xsi:type="dcterms:W3CDTF">2023-03-02T05:50:00Z</dcterms:created>
  <dcterms:modified xsi:type="dcterms:W3CDTF">2023-03-02T05:51:00Z</dcterms:modified>
</cp:coreProperties>
</file>