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23" w:rsidRDefault="007E0023" w:rsidP="007E0023">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7E0023" w:rsidRDefault="007E0023" w:rsidP="007E0023">
      <w:pPr>
        <w:autoSpaceDE w:val="0"/>
        <w:autoSpaceDN w:val="0"/>
        <w:adjustRightInd w:val="0"/>
        <w:spacing w:line="240" w:lineRule="auto"/>
        <w:rPr>
          <w:rFonts w:ascii="Tahoma" w:hAnsi="Tahoma" w:cs="Tahoma"/>
          <w:sz w:val="20"/>
          <w:szCs w:val="20"/>
        </w:rPr>
      </w:pPr>
    </w:p>
    <w:p w:rsidR="007E0023" w:rsidRDefault="007E0023" w:rsidP="007E0023">
      <w:pPr>
        <w:autoSpaceDE w:val="0"/>
        <w:autoSpaceDN w:val="0"/>
        <w:adjustRightInd w:val="0"/>
        <w:spacing w:after="0" w:line="240" w:lineRule="auto"/>
        <w:jc w:val="both"/>
        <w:outlineLvl w:val="0"/>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 РОССИЙСКОЙ ФЕДЕРАЦИИ</w:t>
      </w:r>
    </w:p>
    <w:p w:rsidR="007E0023" w:rsidRDefault="007E0023" w:rsidP="007E0023">
      <w:pPr>
        <w:autoSpaceDE w:val="0"/>
        <w:autoSpaceDN w:val="0"/>
        <w:adjustRightInd w:val="0"/>
        <w:spacing w:line="240" w:lineRule="auto"/>
        <w:jc w:val="center"/>
        <w:rPr>
          <w:rFonts w:ascii="Arial" w:hAnsi="Arial" w:cs="Arial"/>
          <w:b/>
          <w:bCs/>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20 октября 2021 г. N 1800</w:t>
      </w:r>
    </w:p>
    <w:p w:rsidR="007E0023" w:rsidRDefault="007E0023" w:rsidP="007E0023">
      <w:pPr>
        <w:autoSpaceDE w:val="0"/>
        <w:autoSpaceDN w:val="0"/>
        <w:adjustRightInd w:val="0"/>
        <w:spacing w:line="240" w:lineRule="auto"/>
        <w:jc w:val="center"/>
        <w:rPr>
          <w:rFonts w:ascii="Arial" w:hAnsi="Arial" w:cs="Arial"/>
          <w:b/>
          <w:bCs/>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ПОРЯДКЕ</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РЕГИСТРАЦИИ РАДИОЭЛЕКТРОННЫХ СРЕДСТВ</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ВЫСОКОЧАСТОТНЫХ УСТРОЙСТВ</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6" w:history="1">
        <w:r>
          <w:rPr>
            <w:rFonts w:ascii="Arial" w:hAnsi="Arial" w:cs="Arial"/>
            <w:color w:val="0000FF"/>
            <w:sz w:val="20"/>
            <w:szCs w:val="20"/>
          </w:rPr>
          <w:t>статьей 22</w:t>
        </w:r>
      </w:hyperlink>
      <w:r>
        <w:rPr>
          <w:rFonts w:ascii="Arial" w:hAnsi="Arial" w:cs="Arial"/>
          <w:sz w:val="20"/>
          <w:szCs w:val="20"/>
        </w:rPr>
        <w:t xml:space="preserve"> Федерального закона "О связи" Правительство Российской Федерации постановляет: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w:anchor="Par51" w:history="1">
        <w:r w:rsidR="007E0023">
          <w:rPr>
            <w:rFonts w:ascii="Arial" w:hAnsi="Arial" w:cs="Arial"/>
            <w:color w:val="0000FF"/>
            <w:sz w:val="20"/>
            <w:szCs w:val="20"/>
          </w:rPr>
          <w:t>Правила</w:t>
        </w:r>
      </w:hyperlink>
      <w:r w:rsidR="007E0023">
        <w:rPr>
          <w:rFonts w:ascii="Arial" w:hAnsi="Arial" w:cs="Arial"/>
          <w:sz w:val="20"/>
          <w:szCs w:val="20"/>
        </w:rPr>
        <w:t xml:space="preserve"> регистрации радиоэлектронных средств и высокочастотных устройств;</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w:anchor="Par126" w:history="1">
        <w:r w:rsidR="007E0023">
          <w:rPr>
            <w:rFonts w:ascii="Arial" w:hAnsi="Arial" w:cs="Arial"/>
            <w:color w:val="0000FF"/>
            <w:sz w:val="20"/>
            <w:szCs w:val="20"/>
          </w:rPr>
          <w:t>перечень</w:t>
        </w:r>
      </w:hyperlink>
      <w:r w:rsidR="007E0023">
        <w:rPr>
          <w:rFonts w:ascii="Arial" w:hAnsi="Arial" w:cs="Arial"/>
          <w:sz w:val="20"/>
          <w:szCs w:val="20"/>
        </w:rPr>
        <w:t xml:space="preserve"> радиоэлектронных средств и высокочастотных устройств, подлежащих регистрации.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разрешения на эксплуатацию радиоэлектронных средств и высокочастотных устройств, на использование радиочастот или радиочастотных каналов для судовых радиостанций (лицензии судовых радиостанций), которые выданы в установленном порядке до вступления в силу настоящего постановления, действительны до окончания указанного в них срока;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(радиочастотных каналов) которым осуществляют Министерство обороны Российской Федерации и Федеральная служба охраны Российской Федерации, подлежат регистрации в Федеральной службе безопасности Российской Федерации и ее территориальных органах.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7"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8"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25 июля 2007 г. N 476 "О внесении изменений в постановление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2007, N 31, ст. 4093);</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9" w:history="1">
        <w:r w:rsidR="007E0023">
          <w:rPr>
            <w:rFonts w:ascii="Arial" w:hAnsi="Arial" w:cs="Arial"/>
            <w:color w:val="0000FF"/>
            <w:sz w:val="20"/>
            <w:szCs w:val="20"/>
          </w:rPr>
          <w:t>пункт 2</w:t>
        </w:r>
      </w:hyperlink>
      <w:r w:rsidR="007E0023">
        <w:rPr>
          <w:rFonts w:ascii="Arial" w:hAnsi="Arial" w:cs="Arial"/>
          <w:sz w:val="20"/>
          <w:szCs w:val="20"/>
        </w:rP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"О внесении изменений в некоторые акты Правительства Российской Федерации" (Собрание законодательства Российской Федерации, 2008, N 42, ст. 4832);</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0" w:history="1">
        <w:r w:rsidR="007E0023">
          <w:rPr>
            <w:rFonts w:ascii="Arial" w:hAnsi="Arial" w:cs="Arial"/>
            <w:color w:val="0000FF"/>
            <w:sz w:val="20"/>
            <w:szCs w:val="20"/>
          </w:rPr>
          <w:t>пункт 3</w:t>
        </w:r>
      </w:hyperlink>
      <w:r w:rsidR="007E0023">
        <w:rPr>
          <w:rFonts w:ascii="Arial" w:hAnsi="Arial" w:cs="Arial"/>
          <w:sz w:val="20"/>
          <w:szCs w:val="20"/>
        </w:rPr>
        <w:t xml:space="preserve"> изменений, которые вносятся в акты Правительства Российской Федерации по вопросу выдачи разрешений на судовую радиостанцию и бортовую радиостанцию, утвержденных постановлением </w:t>
      </w:r>
      <w:r w:rsidR="007E0023">
        <w:rPr>
          <w:rFonts w:ascii="Arial" w:hAnsi="Arial" w:cs="Arial"/>
          <w:sz w:val="20"/>
          <w:szCs w:val="20"/>
        </w:rPr>
        <w:lastRenderedPageBreak/>
        <w:t>Правительства Российской Федерации от 17 марта 2010 г. N 160 "О выдаче разрешений на судовую радиостанцию и бортовую радиостанцию" (Собрание законодательства Российской Федерации, 2010, N 13, ст. 1502);</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1"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13 октября 2011 г. N 837 "О внесении изменений в постановление Правительства Российской Федерации от 12 октября 2004 г. N 539" (Собрание законодательства Российской Федерации, 2011, N 43, ст. 6073);</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2"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22 декабря 2011 г. N 1100 "О внесении изменений в Правила регистрации радиоэлектронных средств и высокочастотных устройств" (Собрание законодательства Российской Федерации, 2012, N 1, ст. 144);</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3"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19 марта 2013 г. N 237 "О внесении изменений в постановление Правительства Российской Федерации от 12 октября 2004 г. N 539" (Собрание законодательства Российской Федерации, 2013, N 12, ст. 1336);</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4" w:history="1">
        <w:r w:rsidR="007E0023">
          <w:rPr>
            <w:rFonts w:ascii="Arial" w:hAnsi="Arial" w:cs="Arial"/>
            <w:color w:val="0000FF"/>
            <w:sz w:val="20"/>
            <w:szCs w:val="20"/>
          </w:rPr>
          <w:t>пункт 2</w:t>
        </w:r>
      </w:hyperlink>
      <w:r w:rsidR="007E0023">
        <w:rPr>
          <w:rFonts w:ascii="Arial" w:hAnsi="Arial" w:cs="Arial"/>
          <w:sz w:val="20"/>
          <w:szCs w:val="20"/>
        </w:rPr>
        <w:t xml:space="preserve"> изменений,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утвержденных постановлением Правительства Российской Федерации от 15 августа 2014 г. N 816 "О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(Собрание законодательства Российской Федерации, 2014, N 34, ст. 4673);</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5"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27 ноября 2014 г. N 1252 "О внесении изменений в Правила регистрации радиоэлектронных средств и высокочастотных устройств" (Собрание законодательства Российской Федерации, 2014, N 49, ст. 6959);</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6"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26 декабря 2015 г. N 1447 "О внесении изменений в постановление Правительства Российской Федерации от 12 октября 2004 г. N 539" (Собрание законодательства Российской Федерации, 2016, N 1, ст. 252);</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7" w:history="1">
        <w:r w:rsidR="007E0023">
          <w:rPr>
            <w:rFonts w:ascii="Arial" w:hAnsi="Arial" w:cs="Arial"/>
            <w:color w:val="0000FF"/>
            <w:sz w:val="20"/>
            <w:szCs w:val="20"/>
          </w:rPr>
          <w:t>пункт 2</w:t>
        </w:r>
      </w:hyperlink>
      <w:r w:rsidR="007E0023">
        <w:rPr>
          <w:rFonts w:ascii="Arial" w:hAnsi="Arial" w:cs="Arial"/>
          <w:sz w:val="20"/>
          <w:szCs w:val="20"/>
        </w:rPr>
        <w:t xml:space="preserve"> постановления Правительства Российской Федерации от 9 июля 2016 г. N 646 "Об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 (Собрание законодательства Российской Федерации, 2016, N 29, ст. 4823);</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8" w:history="1">
        <w:r w:rsidR="007E0023">
          <w:rPr>
            <w:rFonts w:ascii="Arial" w:hAnsi="Arial" w:cs="Arial"/>
            <w:color w:val="0000FF"/>
            <w:sz w:val="20"/>
            <w:szCs w:val="20"/>
          </w:rPr>
          <w:t>пункт 3</w:t>
        </w:r>
      </w:hyperlink>
      <w:r w:rsidR="007E0023">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ноября 2016 г. N 1118 "О внесении изменений в некоторые акты Правительства Российской Федерации" (Собрание законодательства Российской Федерации, 2016, N 46, ст. 6459);</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19" w:history="1">
        <w:r w:rsidR="007E0023">
          <w:rPr>
            <w:rFonts w:ascii="Arial" w:hAnsi="Arial" w:cs="Arial"/>
            <w:color w:val="0000FF"/>
            <w:sz w:val="20"/>
            <w:szCs w:val="20"/>
          </w:rPr>
          <w:t>пункт 2</w:t>
        </w:r>
      </w:hyperlink>
      <w:r w:rsidR="007E0023">
        <w:rPr>
          <w:rFonts w:ascii="Arial" w:hAnsi="Arial" w:cs="Arial"/>
          <w:sz w:val="20"/>
          <w:szCs w:val="20"/>
        </w:rPr>
        <w:t xml:space="preserve"> постановления Правительства Российской Федерации от 10 июля 2017 г. N 816 "О порядке регистрации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и внесении изменений в постановление Правительства Российской Федерации от 12 октября 2004 г. N 539" (Собрание законодательства Российской Федерации, 2017, N 29, ст. 4377);</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20" w:history="1">
        <w:r w:rsidR="007E0023">
          <w:rPr>
            <w:rFonts w:ascii="Arial" w:hAnsi="Arial" w:cs="Arial"/>
            <w:color w:val="0000FF"/>
            <w:sz w:val="20"/>
            <w:szCs w:val="20"/>
          </w:rPr>
          <w:t>пункт 1</w:t>
        </w:r>
      </w:hyperlink>
      <w:r w:rsidR="007E0023">
        <w:rPr>
          <w:rFonts w:ascii="Arial" w:hAnsi="Arial" w:cs="Arial"/>
          <w:sz w:val="20"/>
          <w:szCs w:val="20"/>
        </w:rPr>
        <w:t xml:space="preserve"> изменений, которые вносятся в акты Правительства Российской Федерации в части регистрации радиоэлектронных средств и высокочастотных устройств, утвержденных постановлением Правительства Российской Федерации от 14 декабря 2017 г. N 1547 "О внесении изменений в некоторые акты Правительства Российской Федерации в части регистрации радиоэлектронных средств и высокочастотных устройств" (Собрание законодательства Российской Федерации, 2017, N 52, ст. 8128);</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21" w:history="1">
        <w:r w:rsidR="007E0023">
          <w:rPr>
            <w:rFonts w:ascii="Arial" w:hAnsi="Arial" w:cs="Arial"/>
            <w:color w:val="0000FF"/>
            <w:sz w:val="20"/>
            <w:szCs w:val="20"/>
          </w:rPr>
          <w:t>пункт 7</w:t>
        </w:r>
      </w:hyperlink>
      <w:r w:rsidR="007E0023">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22"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22 декабря 2018 г. N 1633 "О внесении изменений в приложение к перечню радиоэлектронных средств и высокочастотных устройств, подлежащих регистрации" (Собрание законодательства Российской Федерации, 2018, N 53, ст. 8673);</w:t>
      </w:r>
    </w:p>
    <w:p w:rsidR="007E0023" w:rsidRDefault="00682AC2" w:rsidP="007E0023">
      <w:pPr>
        <w:autoSpaceDE w:val="0"/>
        <w:autoSpaceDN w:val="0"/>
        <w:adjustRightInd w:val="0"/>
        <w:spacing w:before="200" w:after="0" w:line="240" w:lineRule="auto"/>
        <w:ind w:firstLine="540"/>
        <w:jc w:val="both"/>
        <w:rPr>
          <w:rFonts w:ascii="Arial" w:hAnsi="Arial" w:cs="Arial"/>
          <w:sz w:val="20"/>
          <w:szCs w:val="20"/>
        </w:rPr>
      </w:pPr>
      <w:hyperlink r:id="rId23" w:history="1">
        <w:r w:rsidR="007E0023">
          <w:rPr>
            <w:rFonts w:ascii="Arial" w:hAnsi="Arial" w:cs="Arial"/>
            <w:color w:val="0000FF"/>
            <w:sz w:val="20"/>
            <w:szCs w:val="20"/>
          </w:rPr>
          <w:t>пункт 2</w:t>
        </w:r>
      </w:hyperlink>
      <w:r w:rsidR="007E0023">
        <w:rPr>
          <w:rFonts w:ascii="Arial" w:hAnsi="Arial" w:cs="Arial"/>
          <w:sz w:val="20"/>
          <w:szCs w:val="20"/>
        </w:rPr>
        <w:t xml:space="preserve"> изменений,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утвержденных постановлением Правительства Российской Федерации от 31 мая 2021 г. N 826 "О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(Официальный интернет-портал правовой информации (www.pravo.gov.ru), 2021, 1 июня, N 0001202106010043).</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4" w:history="1">
        <w:r>
          <w:rPr>
            <w:rFonts w:ascii="Arial" w:hAnsi="Arial" w:cs="Arial"/>
            <w:color w:val="0000FF"/>
            <w:sz w:val="20"/>
            <w:szCs w:val="20"/>
          </w:rPr>
          <w:t>Пункт 959</w:t>
        </w:r>
      </w:hyperlink>
      <w:r>
        <w:rPr>
          <w:rFonts w:ascii="Arial" w:hAnsi="Arial" w:cs="Arial"/>
          <w:sz w:val="20"/>
          <w:szCs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с 1 марта 2022 г. и действует в течение 6 лет со дня его вступления в силу.</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октября 2021 г. N 1800</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bookmarkStart w:id="1" w:name="Par51"/>
      <w:bookmarkEnd w:id="1"/>
      <w:r>
        <w:rPr>
          <w:rFonts w:ascii="Arial" w:hAnsi="Arial" w:cs="Arial"/>
          <w:b/>
          <w:bCs/>
          <w:sz w:val="20"/>
          <w:szCs w:val="20"/>
        </w:rPr>
        <w:t>ПРАВИЛА</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РЕГИСТРАЦИИ РАДИОЭЛЕКТРОННЫХ СРЕДСТВ</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ВЫСОКОЧАСТОТНЫХ УСТРОЙСТВ</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регистрации радиоэлектронных средств и высокочастотных устройств гражданского назначения (далее - радиоэлектронные средства и высокочастотные устройства), используемых на территории Российской Федерации и территориях, находящихся под юрисдикцией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 пользователем радиоэлектронного средства и высокочастотного устройства понимается лицо, использующее это средство совместно с владельцем на основании договора.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в целях учета источников электромагнитного излучения, влияющих на обеспечение надлежащего использования радиочастот (радиочастотных каналов), посредством внесения соответствующей записи в реестр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Регистрации подлежат радиоэлектронные средства и высокочастотные устройства, предусмотренные перечнем, утверждаемым Правительством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цифрового развития,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 Федеральной службой безопасности Российской Федерации и Федеральной службой охраны Российской Федерации предложения о внесении изменений в </w:t>
      </w:r>
      <w:hyperlink w:anchor="Par223" w:history="1">
        <w:r>
          <w:rPr>
            <w:rFonts w:ascii="Arial" w:hAnsi="Arial" w:cs="Arial"/>
            <w:color w:val="0000FF"/>
            <w:sz w:val="20"/>
            <w:szCs w:val="20"/>
          </w:rPr>
          <w:t>приложение</w:t>
        </w:r>
      </w:hyperlink>
      <w:r>
        <w:rPr>
          <w:rFonts w:ascii="Arial" w:hAnsi="Arial" w:cs="Arial"/>
          <w:sz w:val="20"/>
          <w:szCs w:val="20"/>
        </w:rPr>
        <w:t xml:space="preserve"> к перечню радиоэлектронных средств и высокочастотных устройств, подлежащих регистрации, утвержденному постановлением Правительства Российской Федерации от 20 октября 2021 г. N 1800 "О порядке регистрации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Настоящие Правила не распространяются на регистрацию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 а также на регистрацию судовых радиостанций, используемых на морских судах, судах внутреннего плавания, судах смешанного (река - море) плавания, и бортовых радиостанций, используемых на воздушных судах.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Министерство цифрового развития, связи и массовых коммуникаций Российской Федерации устанавливает: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 а также форму выписки из реестра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формы свидетельств об образовании позывных сигналов.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Регистрация радиоэлектронных средств и высокочастотных устройств осуществляется по заявлению владельца радиоэлектронных средств и (или) высокочастотных устройств или пользователя радиоэлектронного средства (далее соответственно - заявление, заявитель), подаваемому на бумажном носителе или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надзору в сфере связи, информационных технологий и массовых коммуникаций в информационно-телекоммуникационной сети "Интернет" (при наличии технической возможности) (далее - электронная форма) или иным способом в соответствии с законодательством Российской Федерации, подтверждающим факт направления заявления.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 абонентской земной станции спутниковой связи, работающей через искусственные спутники Земли по технологии VSAT (далее - станция спутниковой связи VSAT), на основании письменного согласия владельца станции спутниковой связи VSAT может быть подано оператором связи, в сети связи которого работает эта станция спутниковой связи VSAT.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подачи заявления о регистрации радиоэлектронных средств и высокочастотных устройств в электронной форме заявителем, которым является физическое лицо, заявление может быть подписано простой электронной подписью в соответствии с </w:t>
      </w:r>
      <w:hyperlink r:id="rId25" w:history="1">
        <w:r>
          <w:rPr>
            <w:rFonts w:ascii="Arial" w:hAnsi="Arial" w:cs="Arial"/>
            <w:color w:val="0000FF"/>
            <w:sz w:val="20"/>
            <w:szCs w:val="20"/>
          </w:rPr>
          <w:t>Правилами</w:t>
        </w:r>
      </w:hyperlink>
      <w:r>
        <w:rPr>
          <w:rFonts w:ascii="Arial" w:hAnsi="Arial" w:cs="Arial"/>
          <w:sz w:val="20"/>
          <w:szCs w:val="20"/>
        </w:rPr>
        <w:t xml:space="preserve"> использования простой электронной подписи </w:t>
      </w:r>
      <w:r>
        <w:rPr>
          <w:rFonts w:ascii="Arial" w:hAnsi="Arial" w:cs="Arial"/>
          <w:sz w:val="20"/>
          <w:szCs w:val="20"/>
        </w:rPr>
        <w:lastRenderedPageBreak/>
        <w:t>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 информационных технологий и массовых коммуникаций, на территории деятельности которого планируется использование радиоэлектронных средств и высокочастотных устройств, с указанием: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наименования, идентификационного номера налогоплательщика и основного государственного регистрационного номера юридического лица - для юридического лица;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фамилии, имени, отчества, идентификационного номера налогоплательщика, основного государственного регистрационного номера индивидуального предпринимателя - для индивидуального предпринимателя;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фамилии, имени, отчества, страхового номера индивидуального лицевого счета гражданина в системе обязательного пенсионного страхования, места жительства, данных документа, удостоверяющего личность гражданина Российской Федерации, - для физических лиц, не являющихся индивидуальными предпринимателями;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имени, фамилии, гражданства (в случае его наличия), места регистрации, данных документа, удостоверяющего личность, - для иностранных граждан и лиц без гражданства;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типа, наименования и номера регистрируемого радиоэлектронного средства и высокочастотного устройства;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номера действующей реестровой записи, подлежащей исключению, в случае внесения изменения в записи в реестре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номера и даты разрешения на использование радиочастот или радиочастотных каналов для радиоэлектронных средств, выданных на имя заявителя;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номера и даты свидетельства об образовании позывного сигнала;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номера и даты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соответствии с решением о выделении полосы радиочастот и (или) разрешениями на использование радиочастот или радиочастотных каналов радиоэлектронное средство и (или) высокочастотное устройство планируется использовать на территории нескольких субъектов Российской Федерации, заявление необходимо подавать в территориальный орган Федеральной службы по надзору в сфере связи, информационных технологий и массовых коммуникаций по месту регистрации заявителя.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 заявлению прилагаются: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 w:name="Par81"/>
      <w:bookmarkEnd w:id="2"/>
      <w:r>
        <w:rPr>
          <w:rFonts w:ascii="Arial" w:hAnsi="Arial" w:cs="Arial"/>
          <w:sz w:val="20"/>
          <w:szCs w:val="20"/>
        </w:rPr>
        <w:t>а) сведения о технических характеристиках и параметрах излучения регистрируемых радиоэлектронных средств и (или)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 w:name="Par82"/>
      <w:bookmarkEnd w:id="3"/>
      <w:r>
        <w:rPr>
          <w:rFonts w:ascii="Arial" w:hAnsi="Arial" w:cs="Arial"/>
          <w:sz w:val="20"/>
          <w:szCs w:val="20"/>
        </w:rPr>
        <w:t>б) 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 w:name="Par83"/>
      <w:bookmarkEnd w:id="4"/>
      <w:r>
        <w:rPr>
          <w:rFonts w:ascii="Arial" w:hAnsi="Arial" w:cs="Arial"/>
          <w:sz w:val="20"/>
          <w:szCs w:val="20"/>
        </w:rPr>
        <w:t>в) копия договора между владельцем радиоэлектронных средств и пользователем радиоэлектронного средства - если предполагается совместное использование радиоэлектронного средства;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письменное согласие владельца станции спутниковой связи VSAT, работающей в сети связи оператора связи, на подачу заявления о регистрации этой станции спутниковой связи VSAT оператором связи;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5" w:name="Par85"/>
      <w:bookmarkEnd w:id="5"/>
      <w:r>
        <w:rPr>
          <w:rFonts w:ascii="Arial" w:hAnsi="Arial" w:cs="Arial"/>
          <w:sz w:val="20"/>
          <w:szCs w:val="20"/>
        </w:rPr>
        <w:t xml:space="preserve">д) копия договора оператора связи с имеющим разрешение на использование радиочастот или радиочастотных каналов владельцем центральной земной станции, управляющей сетью спутниковой связи, и копия договора оператора связи с владельцем станции спутниковой связи VSAT, работающей в сети связи оператора связи, - если осуществляется регистрация станции спутниковой связи VSAT, работающей в </w:t>
      </w:r>
      <w:proofErr w:type="spellStart"/>
      <w:r>
        <w:rPr>
          <w:rFonts w:ascii="Arial" w:hAnsi="Arial" w:cs="Arial"/>
          <w:sz w:val="20"/>
          <w:szCs w:val="20"/>
        </w:rPr>
        <w:t>Ku</w:t>
      </w:r>
      <w:proofErr w:type="spellEnd"/>
      <w:r>
        <w:rPr>
          <w:rFonts w:ascii="Arial" w:hAnsi="Arial" w:cs="Arial"/>
          <w:sz w:val="20"/>
          <w:szCs w:val="20"/>
        </w:rPr>
        <w:t xml:space="preserve">- и (или) </w:t>
      </w:r>
      <w:proofErr w:type="spellStart"/>
      <w:r>
        <w:rPr>
          <w:rFonts w:ascii="Arial" w:hAnsi="Arial" w:cs="Arial"/>
          <w:sz w:val="20"/>
          <w:szCs w:val="20"/>
        </w:rPr>
        <w:t>Ka</w:t>
      </w:r>
      <w:proofErr w:type="spellEnd"/>
      <w:r>
        <w:rPr>
          <w:rFonts w:ascii="Arial" w:hAnsi="Arial" w:cs="Arial"/>
          <w:sz w:val="20"/>
          <w:szCs w:val="20"/>
        </w:rPr>
        <w:t>-диапазоне.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с использованием единой системы межведомственного электронного взаимодействия.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6" w:name="Par87"/>
      <w:bookmarkEnd w:id="6"/>
      <w:r>
        <w:rPr>
          <w:rFonts w:ascii="Arial" w:hAnsi="Arial" w:cs="Arial"/>
          <w:sz w:val="20"/>
          <w:szCs w:val="20"/>
        </w:rPr>
        <w:t>13. 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регистрации радиоэлектронных средств и высокочастотных устройств способом, отличным от подачи в электронной форме, территориальный орган Федеральной службы по надзору в сфере связи, информационных технологий и массовых коммуникаций не позднее 10 рабочих дней со дня получения заявления: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представленные заявителем документы и вносит в установленном порядке сведения о зарегистрированных радиоэлектронных средствах и (или) высокочастотных устройствах в реестр зарегистрированных радиоэлектронных средств и высокочастотных устройств либо отказывает в их регистрации;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регистрации радиоэлектронных средств и (или) высокочастотных устройств в электронной форме обработка заявления и регистрация радиоэлектронных средств и (или) высокочастотных устройств осуществляются в автоматическом режиме (при наличии технической возможности).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технической возможности автоматической обработки заявления о регистрации радиоэлектронных средств и высокочастотных устройств, поступившего в электронном виде, представленные заявителем сведения рассматриваются в порядке, установленном настоящими Правилами для рассмотрения заявления, поданного на бумажном носителе. 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 информационных технологий и массовых коммуникаций в информационно-телекоммуникационной сети "Интернет"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Основанием для отказа в регистрации радиоэлектронных средств и высокочастотных устройств является: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несоответствие представляемых документов требованиям, установленным настоящими Правилами;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непредставление документов, необходимых для регистрации радиоэлектронных средств и (или) высокочастотных устройств в соответствии с настоящими Правилами;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в документах, представленных заявителем, недостоверной или искаженной информации;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несоответствие сведений о технических характеристиках и параметрах излучений радиоэлектронных средств и (или) высокочастотных устройств требованиям,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 (при наличии технической возможности получения решения Государственной комиссии по радиочастотам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 указанных заявителем в соответствии с </w:t>
      </w:r>
      <w:hyperlink w:anchor="Par81" w:history="1">
        <w:r>
          <w:rPr>
            <w:rFonts w:ascii="Arial" w:hAnsi="Arial" w:cs="Arial"/>
            <w:color w:val="0000FF"/>
            <w:sz w:val="20"/>
            <w:szCs w:val="20"/>
          </w:rPr>
          <w:t>подпунктом "а" пункта 11</w:t>
        </w:r>
      </w:hyperlink>
      <w:r>
        <w:rPr>
          <w:rFonts w:ascii="Arial" w:hAnsi="Arial" w:cs="Arial"/>
          <w:sz w:val="20"/>
          <w:szCs w:val="20"/>
        </w:rPr>
        <w:t xml:space="preserve"> настоящих Правил. Выписка из реестра зарегистрированных радиоэлектронных средств и высокочастотных устройств оформляется отдельно для каждого заявителя.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(территориальным органом Федеральной службы по надзору в сфере связи, информационных технологий и массовых коммуникаций) самостоятельно без подачи заявления владельца радиоэлектронного средства и (или) высокочастотного устройства в срок не более 5 рабочих дней с даты принятия решения о продлении срока действия разрешения на использование радиочастот или радиочастотных каналов на основании заявления, поданного в электронном виде, для радиоэлектронных средств, зарегистрированных после 1 января 2019 г., в случае если сведения об адресе и координатах места установки радиоэлектронного средства, указанные в продленном разрешении на использование радиочастот или радиочастотных каналов, не изменились и имеется согласие пользователя радиочастотного спектра в заявлении на продление срока действия разрешения на использование радиочастот или радиочастотных каналов. 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(или) высокочастотного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 информационных технологий и массовых коммуникаций в срок не позднее одного рабочего дня со дня внесения изменений в запись в реестре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запись в реестре зарегистрированных радиоэлектронных средств и высокочастотных устройств при изменении сведений, указанных в заявлении о регистрации радиоэлектронных средств и (или) высокочастотных устройств и прилагаемых к нему документах,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(или)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(или) высокочастотных устройств на </w:t>
      </w:r>
      <w:r>
        <w:rPr>
          <w:rFonts w:ascii="Arial" w:hAnsi="Arial" w:cs="Arial"/>
          <w:sz w:val="20"/>
          <w:szCs w:val="20"/>
        </w:rPr>
        <w:lastRenderedPageBreak/>
        <w:t>бумажном носителе или в электронной форме, подаваемого в территориальный орган Федеральной службы по надзору в сфере связи, информационных технологий и массовых коммуникаций.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внесении изменений в запись в реестре зарегистрированных радиоэлектронных средств и высокочастотных устройств создается новая запись, а ранее действующей записи присваивается статус "исключенная".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истечение срока действия записи в реестре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(или) высокочастотного устройства или прекращение действия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заявления о прекращении регистрации радиоэлектронных средств и (или) высокочастотных устройств владельца радиоэлектронных средств и (или) высокочастотных устройств или пользователя радиоэлектронного средства;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обнаружение недостоверных данных в документах, представленных заявителем для регистрации радиоэлектронных средств и (или)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прекращение действия договоров, указанных в </w:t>
      </w:r>
      <w:hyperlink w:anchor="Par82" w:history="1">
        <w:r>
          <w:rPr>
            <w:rFonts w:ascii="Arial" w:hAnsi="Arial" w:cs="Arial"/>
            <w:color w:val="0000FF"/>
            <w:sz w:val="20"/>
            <w:szCs w:val="20"/>
          </w:rPr>
          <w:t>подпунктах "б"</w:t>
        </w:r>
      </w:hyperlink>
      <w:r>
        <w:rPr>
          <w:rFonts w:ascii="Arial" w:hAnsi="Arial" w:cs="Arial"/>
          <w:sz w:val="20"/>
          <w:szCs w:val="20"/>
        </w:rPr>
        <w:t xml:space="preserve">, </w:t>
      </w:r>
      <w:hyperlink w:anchor="Par83" w:history="1">
        <w:r>
          <w:rPr>
            <w:rFonts w:ascii="Arial" w:hAnsi="Arial" w:cs="Arial"/>
            <w:color w:val="0000FF"/>
            <w:sz w:val="20"/>
            <w:szCs w:val="20"/>
          </w:rPr>
          <w:t>"в"</w:t>
        </w:r>
      </w:hyperlink>
      <w:r>
        <w:rPr>
          <w:rFonts w:ascii="Arial" w:hAnsi="Arial" w:cs="Arial"/>
          <w:sz w:val="20"/>
          <w:szCs w:val="20"/>
        </w:rPr>
        <w:t xml:space="preserve"> и </w:t>
      </w:r>
      <w:hyperlink w:anchor="Par85" w:history="1">
        <w:r>
          <w:rPr>
            <w:rFonts w:ascii="Arial" w:hAnsi="Arial" w:cs="Arial"/>
            <w:color w:val="0000FF"/>
            <w:sz w:val="20"/>
            <w:szCs w:val="20"/>
          </w:rPr>
          <w:t>"д" пункта 11</w:t>
        </w:r>
      </w:hyperlink>
      <w:r>
        <w:rPr>
          <w:rFonts w:ascii="Arial" w:hAnsi="Arial" w:cs="Arial"/>
          <w:sz w:val="20"/>
          <w:szCs w:val="20"/>
        </w:rPr>
        <w:t xml:space="preserve"> настоящих Правил.</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Мотивированное уведомление о прекращении действия регистрации радиоэлектронных средств и (или)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(пользователю) радиоэлектронного средства или владельцу высокочастотного устройства на бумажном носителе или в форме электронного документа способом, соответствующим способу получения выписки из реестра зарегистрированных радиоэлектронных средств и высокочастотных устройств, указанному в заявлении о регистрации этих средств или устройств, в срок, установленный </w:t>
      </w:r>
      <w:hyperlink w:anchor="Par87" w:history="1">
        <w:r>
          <w:rPr>
            <w:rFonts w:ascii="Arial" w:hAnsi="Arial" w:cs="Arial"/>
            <w:color w:val="0000FF"/>
            <w:sz w:val="20"/>
            <w:szCs w:val="20"/>
          </w:rPr>
          <w:t>пунктом 13</w:t>
        </w:r>
      </w:hyperlink>
      <w:r>
        <w:rPr>
          <w:rFonts w:ascii="Arial" w:hAnsi="Arial" w:cs="Arial"/>
          <w:sz w:val="20"/>
          <w:szCs w:val="20"/>
        </w:rPr>
        <w:t xml:space="preserve"> настоящих Правил для направления выписки из реестра зарегистрированных радиоэлектронных средств и высокочастотных устройств,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Сведения об абонентских станциях (терминалах), которые содержат радиопередающие устройства, не требующие регистрации в соответствии с настоящими Правилами, и персональные данные об их владельцах - абонентах сетей связи подлежат учету операторами связи, оказывающими услуги связи с использованием таких радиоэлектронных средств.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Сведения о высокочастотных устройствах и об их владельцах, о радиоэлектронных средствах и об их владельцах и пользователях предоставляются Федеральной службой по надзору в сфере связи, информационных технологий и массовых коммуникаций и ее территориальными органами или операторами связи, оказывающими услуги связи с использованием данных радиоэлектронных средств и высокочастотных устройств, государственным органам в соответствии с их полномочиями в случаях, установленных законодательством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За нарушение порядка регистрации радиоэлектронных средств и высокочастотных устройств, установленного настоящими Правилами, виновные лица несут ответственность в соответствии с </w:t>
      </w:r>
      <w:hyperlink r:id="rId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октября 2021 г. N 1800</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bookmarkStart w:id="7" w:name="Par126"/>
      <w:bookmarkEnd w:id="7"/>
      <w:r>
        <w:rPr>
          <w:rFonts w:ascii="Arial" w:hAnsi="Arial" w:cs="Arial"/>
          <w:b/>
          <w:bCs/>
          <w:sz w:val="20"/>
          <w:szCs w:val="20"/>
        </w:rPr>
        <w:t>ПЕРЕЧЕНЬ</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РАДИОЭЛЕКТРОННЫХ СРЕДСТВ И ВЫСОКОЧАСТОТНЫХ УСТРОЙСТВ,</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ПОДЛЕЖАЩИХ РЕГИСТРАЦИИ</w:t>
      </w:r>
    </w:p>
    <w:p w:rsidR="007E0023" w:rsidRDefault="007E0023" w:rsidP="007E002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
        <w:gridCol w:w="6463"/>
        <w:gridCol w:w="2117"/>
      </w:tblGrid>
      <w:tr w:rsidR="007E0023">
        <w:tc>
          <w:tcPr>
            <w:tcW w:w="6953" w:type="dxa"/>
            <w:gridSpan w:val="2"/>
            <w:tcBorders>
              <w:top w:val="single" w:sz="4" w:space="0" w:color="auto"/>
              <w:bottom w:val="single" w:sz="4" w:space="0" w:color="auto"/>
              <w:right w:val="single" w:sz="4" w:space="0" w:color="auto"/>
            </w:tcBorders>
          </w:tcPr>
          <w:p w:rsidR="007E0023" w:rsidRDefault="007E0023">
            <w:pPr>
              <w:autoSpaceDE w:val="0"/>
              <w:autoSpaceDN w:val="0"/>
              <w:adjustRightInd w:val="0"/>
              <w:spacing w:after="0" w:line="240" w:lineRule="auto"/>
              <w:rPr>
                <w:rFonts w:ascii="Arial" w:hAnsi="Arial" w:cs="Arial"/>
                <w:sz w:val="20"/>
                <w:szCs w:val="20"/>
              </w:rPr>
            </w:pPr>
          </w:p>
        </w:tc>
        <w:tc>
          <w:tcPr>
            <w:tcW w:w="2117" w:type="dxa"/>
            <w:tcBorders>
              <w:top w:val="single" w:sz="4" w:space="0" w:color="auto"/>
              <w:left w:val="single" w:sz="4" w:space="0" w:color="auto"/>
              <w:bottom w:val="single" w:sz="4" w:space="0" w:color="auto"/>
            </w:tcBorders>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Пункты приложения </w:t>
            </w:r>
            <w:hyperlink w:anchor="Par212" w:history="1">
              <w:r>
                <w:rPr>
                  <w:rFonts w:ascii="Arial" w:hAnsi="Arial" w:cs="Arial"/>
                  <w:color w:val="0000FF"/>
                  <w:sz w:val="20"/>
                  <w:szCs w:val="20"/>
                </w:rPr>
                <w:t>&lt;*&gt;</w:t>
              </w:r>
            </w:hyperlink>
          </w:p>
        </w:tc>
      </w:tr>
      <w:tr w:rsidR="007E0023">
        <w:tc>
          <w:tcPr>
            <w:tcW w:w="490" w:type="dxa"/>
            <w:tcBorders>
              <w:top w:val="single" w:sz="4" w:space="0" w:color="auto"/>
            </w:tcBorders>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463" w:type="dxa"/>
            <w:tcBorders>
              <w:top w:val="single" w:sz="4" w:space="0" w:color="auto"/>
            </w:tcBorders>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фиксированной службы</w:t>
            </w:r>
          </w:p>
        </w:tc>
        <w:tc>
          <w:tcPr>
            <w:tcW w:w="2117" w:type="dxa"/>
            <w:tcBorders>
              <w:top w:val="single" w:sz="4" w:space="0" w:color="auto"/>
            </w:tcBorders>
          </w:tcPr>
          <w:p w:rsidR="007E0023" w:rsidRDefault="00682AC2">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28" w:history="1">
              <w:r w:rsidR="007E0023">
                <w:rPr>
                  <w:rFonts w:ascii="Arial" w:hAnsi="Arial" w:cs="Arial"/>
                  <w:color w:val="0000FF"/>
                  <w:sz w:val="20"/>
                  <w:szCs w:val="20"/>
                </w:rPr>
                <w:t>2</w:t>
              </w:r>
            </w:hyperlink>
            <w:r w:rsidR="007E0023">
              <w:rPr>
                <w:rFonts w:ascii="Arial" w:hAnsi="Arial" w:cs="Arial"/>
                <w:sz w:val="20"/>
                <w:szCs w:val="20"/>
              </w:rPr>
              <w:t xml:space="preserve">, </w:t>
            </w:r>
            <w:hyperlink w:anchor="Par236" w:history="1">
              <w:r w:rsidR="007E0023">
                <w:rPr>
                  <w:rFonts w:ascii="Arial" w:hAnsi="Arial" w:cs="Arial"/>
                  <w:color w:val="0000FF"/>
                  <w:sz w:val="20"/>
                  <w:szCs w:val="20"/>
                </w:rPr>
                <w:t>8</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радиовещательной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воздушной подвижной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морской подвижной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сухопутной подвижной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28" w:history="1">
              <w:r w:rsidR="007E0023">
                <w:rPr>
                  <w:rFonts w:ascii="Arial" w:hAnsi="Arial" w:cs="Arial"/>
                  <w:color w:val="0000FF"/>
                  <w:sz w:val="20"/>
                  <w:szCs w:val="20"/>
                </w:rPr>
                <w:t>2</w:t>
              </w:r>
            </w:hyperlink>
            <w:r w:rsidR="007E0023">
              <w:rPr>
                <w:rFonts w:ascii="Arial" w:hAnsi="Arial" w:cs="Arial"/>
                <w:sz w:val="20"/>
                <w:szCs w:val="20"/>
              </w:rPr>
              <w:t xml:space="preserve">, </w:t>
            </w:r>
            <w:hyperlink w:anchor="Par231" w:history="1">
              <w:r w:rsidR="007E0023">
                <w:rPr>
                  <w:rFonts w:ascii="Arial" w:hAnsi="Arial" w:cs="Arial"/>
                  <w:color w:val="0000FF"/>
                  <w:sz w:val="20"/>
                  <w:szCs w:val="20"/>
                </w:rPr>
                <w:t>4</w:t>
              </w:r>
            </w:hyperlink>
            <w:r w:rsidR="007E0023">
              <w:rPr>
                <w:rFonts w:ascii="Arial" w:hAnsi="Arial" w:cs="Arial"/>
                <w:sz w:val="20"/>
                <w:szCs w:val="20"/>
              </w:rPr>
              <w:t xml:space="preserve">, </w:t>
            </w:r>
            <w:hyperlink w:anchor="Par233" w:history="1">
              <w:r w:rsidR="007E0023">
                <w:rPr>
                  <w:rFonts w:ascii="Arial" w:hAnsi="Arial" w:cs="Arial"/>
                  <w:color w:val="0000FF"/>
                  <w:sz w:val="20"/>
                  <w:szCs w:val="20"/>
                </w:rPr>
                <w:t>6</w:t>
              </w:r>
            </w:hyperlink>
            <w:r w:rsidR="007E0023">
              <w:rPr>
                <w:rFonts w:ascii="Arial" w:hAnsi="Arial" w:cs="Arial"/>
                <w:sz w:val="20"/>
                <w:szCs w:val="20"/>
              </w:rPr>
              <w:t xml:space="preserve">, </w:t>
            </w:r>
            <w:hyperlink w:anchor="Par234" w:history="1">
              <w:r w:rsidR="007E0023">
                <w:rPr>
                  <w:rFonts w:ascii="Arial" w:hAnsi="Arial" w:cs="Arial"/>
                  <w:color w:val="0000FF"/>
                  <w:sz w:val="20"/>
                  <w:szCs w:val="20"/>
                </w:rPr>
                <w:t>7</w:t>
              </w:r>
            </w:hyperlink>
            <w:r w:rsidR="007E0023">
              <w:rPr>
                <w:rFonts w:ascii="Arial" w:hAnsi="Arial" w:cs="Arial"/>
                <w:sz w:val="20"/>
                <w:szCs w:val="20"/>
              </w:rPr>
              <w:t xml:space="preserve">, </w:t>
            </w:r>
            <w:hyperlink w:anchor="Par236" w:history="1">
              <w:r w:rsidR="007E0023">
                <w:rPr>
                  <w:rFonts w:ascii="Arial" w:hAnsi="Arial" w:cs="Arial"/>
                  <w:color w:val="0000FF"/>
                  <w:sz w:val="20"/>
                  <w:szCs w:val="20"/>
                </w:rPr>
                <w:t>8</w:t>
              </w:r>
            </w:hyperlink>
            <w:r w:rsidR="007E0023">
              <w:rPr>
                <w:rFonts w:ascii="Arial" w:hAnsi="Arial" w:cs="Arial"/>
                <w:sz w:val="20"/>
                <w:szCs w:val="20"/>
              </w:rPr>
              <w:t xml:space="preserve">, </w:t>
            </w:r>
            <w:hyperlink w:anchor="Par240" w:history="1">
              <w:r w:rsidR="007E0023">
                <w:rPr>
                  <w:rFonts w:ascii="Arial" w:hAnsi="Arial" w:cs="Arial"/>
                  <w:color w:val="0000FF"/>
                  <w:sz w:val="20"/>
                  <w:szCs w:val="20"/>
                </w:rPr>
                <w:t>9</w:t>
              </w:r>
            </w:hyperlink>
            <w:r w:rsidR="007E0023">
              <w:rPr>
                <w:rFonts w:ascii="Arial" w:hAnsi="Arial" w:cs="Arial"/>
                <w:sz w:val="20"/>
                <w:szCs w:val="20"/>
              </w:rPr>
              <w:t xml:space="preserve">, </w:t>
            </w:r>
            <w:hyperlink w:anchor="Par242" w:history="1">
              <w:r w:rsidR="007E0023">
                <w:rPr>
                  <w:rFonts w:ascii="Arial" w:hAnsi="Arial" w:cs="Arial"/>
                  <w:color w:val="0000FF"/>
                  <w:sz w:val="20"/>
                  <w:szCs w:val="20"/>
                </w:rPr>
                <w:t>10</w:t>
              </w:r>
            </w:hyperlink>
            <w:r w:rsidR="007E0023">
              <w:rPr>
                <w:rFonts w:ascii="Arial" w:hAnsi="Arial" w:cs="Arial"/>
                <w:sz w:val="20"/>
                <w:szCs w:val="20"/>
              </w:rPr>
              <w:t xml:space="preserve">, </w:t>
            </w:r>
            <w:hyperlink w:anchor="Par243" w:history="1">
              <w:r w:rsidR="007E0023">
                <w:rPr>
                  <w:rFonts w:ascii="Arial" w:hAnsi="Arial" w:cs="Arial"/>
                  <w:color w:val="0000FF"/>
                  <w:sz w:val="20"/>
                  <w:szCs w:val="20"/>
                </w:rPr>
                <w:t>11</w:t>
              </w:r>
            </w:hyperlink>
            <w:r w:rsidR="007E0023">
              <w:rPr>
                <w:rFonts w:ascii="Arial" w:hAnsi="Arial" w:cs="Arial"/>
                <w:sz w:val="20"/>
                <w:szCs w:val="20"/>
              </w:rPr>
              <w:t xml:space="preserve">, </w:t>
            </w:r>
            <w:hyperlink w:anchor="Par248" w:history="1">
              <w:r w:rsidR="007E0023">
                <w:rPr>
                  <w:rFonts w:ascii="Arial" w:hAnsi="Arial" w:cs="Arial"/>
                  <w:color w:val="0000FF"/>
                  <w:sz w:val="20"/>
                  <w:szCs w:val="20"/>
                </w:rPr>
                <w:t>12</w:t>
              </w:r>
            </w:hyperlink>
            <w:r w:rsidR="007E0023">
              <w:rPr>
                <w:rFonts w:ascii="Arial" w:hAnsi="Arial" w:cs="Arial"/>
                <w:sz w:val="20"/>
                <w:szCs w:val="20"/>
              </w:rPr>
              <w:t xml:space="preserve">, </w:t>
            </w:r>
            <w:hyperlink w:anchor="Par249" w:history="1">
              <w:r w:rsidR="007E0023">
                <w:rPr>
                  <w:rFonts w:ascii="Arial" w:hAnsi="Arial" w:cs="Arial"/>
                  <w:color w:val="0000FF"/>
                  <w:sz w:val="20"/>
                  <w:szCs w:val="20"/>
                </w:rPr>
                <w:t>13</w:t>
              </w:r>
            </w:hyperlink>
            <w:r w:rsidR="007E0023">
              <w:rPr>
                <w:rFonts w:ascii="Arial" w:hAnsi="Arial" w:cs="Arial"/>
                <w:sz w:val="20"/>
                <w:szCs w:val="20"/>
              </w:rPr>
              <w:t xml:space="preserve">, </w:t>
            </w:r>
            <w:hyperlink w:anchor="Par250" w:history="1">
              <w:r w:rsidR="007E0023">
                <w:rPr>
                  <w:rFonts w:ascii="Arial" w:hAnsi="Arial" w:cs="Arial"/>
                  <w:color w:val="0000FF"/>
                  <w:sz w:val="20"/>
                  <w:szCs w:val="20"/>
                </w:rPr>
                <w:t>14</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254" w:history="1">
              <w:r w:rsidR="007E0023">
                <w:rPr>
                  <w:rFonts w:ascii="Arial" w:hAnsi="Arial" w:cs="Arial"/>
                  <w:color w:val="0000FF"/>
                  <w:sz w:val="20"/>
                  <w:szCs w:val="20"/>
                </w:rPr>
                <w:t>16</w:t>
              </w:r>
            </w:hyperlink>
            <w:r w:rsidR="007E0023">
              <w:rPr>
                <w:rFonts w:ascii="Arial" w:hAnsi="Arial" w:cs="Arial"/>
                <w:sz w:val="20"/>
                <w:szCs w:val="20"/>
              </w:rPr>
              <w:t xml:space="preserve">, </w:t>
            </w:r>
            <w:hyperlink w:anchor="Par255" w:history="1">
              <w:r w:rsidR="007E0023">
                <w:rPr>
                  <w:rFonts w:ascii="Arial" w:hAnsi="Arial" w:cs="Arial"/>
                  <w:color w:val="0000FF"/>
                  <w:sz w:val="20"/>
                  <w:szCs w:val="20"/>
                </w:rPr>
                <w:t>17</w:t>
              </w:r>
            </w:hyperlink>
            <w:r w:rsidR="007E0023">
              <w:rPr>
                <w:rFonts w:ascii="Arial" w:hAnsi="Arial" w:cs="Arial"/>
                <w:sz w:val="20"/>
                <w:szCs w:val="20"/>
              </w:rPr>
              <w:t xml:space="preserve">, </w:t>
            </w:r>
            <w:hyperlink w:anchor="Par256" w:history="1">
              <w:r w:rsidR="007E0023">
                <w:rPr>
                  <w:rFonts w:ascii="Arial" w:hAnsi="Arial" w:cs="Arial"/>
                  <w:color w:val="0000FF"/>
                  <w:sz w:val="20"/>
                  <w:szCs w:val="20"/>
                </w:rPr>
                <w:t>18</w:t>
              </w:r>
            </w:hyperlink>
            <w:r w:rsidR="007E0023">
              <w:rPr>
                <w:rFonts w:ascii="Arial" w:hAnsi="Arial" w:cs="Arial"/>
                <w:sz w:val="20"/>
                <w:szCs w:val="20"/>
              </w:rPr>
              <w:t xml:space="preserve">, </w:t>
            </w:r>
            <w:hyperlink w:anchor="Par257" w:history="1">
              <w:r w:rsidR="007E0023">
                <w:rPr>
                  <w:rFonts w:ascii="Arial" w:hAnsi="Arial" w:cs="Arial"/>
                  <w:color w:val="0000FF"/>
                  <w:sz w:val="20"/>
                  <w:szCs w:val="20"/>
                </w:rPr>
                <w:t>19</w:t>
              </w:r>
            </w:hyperlink>
            <w:r w:rsidR="007E0023">
              <w:rPr>
                <w:rFonts w:ascii="Arial" w:hAnsi="Arial" w:cs="Arial"/>
                <w:sz w:val="20"/>
                <w:szCs w:val="20"/>
              </w:rPr>
              <w:t xml:space="preserve">, </w:t>
            </w:r>
            <w:hyperlink w:anchor="Par268" w:history="1">
              <w:r w:rsidR="007E0023">
                <w:rPr>
                  <w:rFonts w:ascii="Arial" w:hAnsi="Arial" w:cs="Arial"/>
                  <w:color w:val="0000FF"/>
                  <w:sz w:val="20"/>
                  <w:szCs w:val="20"/>
                </w:rPr>
                <w:t>25</w:t>
              </w:r>
            </w:hyperlink>
            <w:r w:rsidR="007E0023">
              <w:rPr>
                <w:rFonts w:ascii="Arial" w:hAnsi="Arial" w:cs="Arial"/>
                <w:sz w:val="20"/>
                <w:szCs w:val="20"/>
              </w:rPr>
              <w:t xml:space="preserve">, </w:t>
            </w:r>
            <w:hyperlink w:anchor="Par299" w:history="1">
              <w:r w:rsidR="007E0023">
                <w:rPr>
                  <w:rFonts w:ascii="Arial" w:hAnsi="Arial" w:cs="Arial"/>
                  <w:color w:val="0000FF"/>
                  <w:sz w:val="20"/>
                  <w:szCs w:val="20"/>
                </w:rPr>
                <w:t>34</w:t>
              </w:r>
            </w:hyperlink>
            <w:r w:rsidR="007E0023">
              <w:rPr>
                <w:rFonts w:ascii="Arial" w:hAnsi="Arial" w:cs="Arial"/>
                <w:sz w:val="20"/>
                <w:szCs w:val="20"/>
              </w:rPr>
              <w:t xml:space="preserve">, </w:t>
            </w:r>
            <w:hyperlink w:anchor="Par332" w:history="1">
              <w:r w:rsidR="007E0023">
                <w:rPr>
                  <w:rFonts w:ascii="Arial" w:hAnsi="Arial" w:cs="Arial"/>
                  <w:color w:val="0000FF"/>
                  <w:sz w:val="20"/>
                  <w:szCs w:val="20"/>
                </w:rPr>
                <w:t>42</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любительской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258" w:history="1">
              <w:r w:rsidR="007E0023">
                <w:rPr>
                  <w:rFonts w:ascii="Arial" w:hAnsi="Arial" w:cs="Arial"/>
                  <w:color w:val="0000FF"/>
                  <w:sz w:val="20"/>
                  <w:szCs w:val="20"/>
                </w:rPr>
                <w:t>20</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службы стандартных частот и сигналов времени</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вспомогательной службы метеорологии</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радиолокационной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радионавигационной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радиовещательной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фиксированной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30" w:history="1">
              <w:r w:rsidR="007E0023">
                <w:rPr>
                  <w:rFonts w:ascii="Arial" w:hAnsi="Arial" w:cs="Arial"/>
                  <w:color w:val="0000FF"/>
                  <w:sz w:val="20"/>
                  <w:szCs w:val="20"/>
                </w:rPr>
                <w:t>3</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сухопутной подвижной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254" w:history="1">
              <w:r w:rsidR="007E0023">
                <w:rPr>
                  <w:rFonts w:ascii="Arial" w:hAnsi="Arial" w:cs="Arial"/>
                  <w:color w:val="0000FF"/>
                  <w:sz w:val="20"/>
                  <w:szCs w:val="20"/>
                </w:rPr>
                <w:t>16</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морской подвижной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воздушной подвижной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Радиоэлектронные средства спутниковой службы исследования </w:t>
            </w:r>
            <w:r>
              <w:rPr>
                <w:rFonts w:ascii="Arial" w:hAnsi="Arial" w:cs="Arial"/>
                <w:sz w:val="20"/>
                <w:szCs w:val="20"/>
              </w:rPr>
              <w:lastRenderedPageBreak/>
              <w:t>земли</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службы космических исследований</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Радиоэлектронные средства спутниковой службы </w:t>
            </w:r>
            <w:proofErr w:type="spellStart"/>
            <w:r>
              <w:rPr>
                <w:rFonts w:ascii="Arial" w:hAnsi="Arial" w:cs="Arial"/>
                <w:sz w:val="20"/>
                <w:szCs w:val="20"/>
              </w:rPr>
              <w:t>радиоопределения</w:t>
            </w:r>
            <w:proofErr w:type="spellEnd"/>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радионавигационной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службы космической эксплуатации</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метеорологической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радиоастрономической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Высокочастотные устройства промышленного, научного, медицинского и бытового применения</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32" w:history="1">
              <w:r w:rsidR="007E0023">
                <w:rPr>
                  <w:rFonts w:ascii="Arial" w:hAnsi="Arial" w:cs="Arial"/>
                  <w:color w:val="0000FF"/>
                  <w:sz w:val="20"/>
                  <w:szCs w:val="20"/>
                </w:rPr>
                <w:t>5</w:t>
              </w:r>
            </w:hyperlink>
            <w:r w:rsidR="007E0023">
              <w:rPr>
                <w:rFonts w:ascii="Arial" w:hAnsi="Arial" w:cs="Arial"/>
                <w:sz w:val="20"/>
                <w:szCs w:val="20"/>
              </w:rPr>
              <w:t xml:space="preserve">, </w:t>
            </w:r>
            <w:hyperlink w:anchor="Par259" w:history="1">
              <w:r w:rsidR="007E0023">
                <w:rPr>
                  <w:rFonts w:ascii="Arial" w:hAnsi="Arial" w:cs="Arial"/>
                  <w:color w:val="0000FF"/>
                  <w:sz w:val="20"/>
                  <w:szCs w:val="20"/>
                </w:rPr>
                <w:t>21</w:t>
              </w:r>
            </w:hyperlink>
            <w:r w:rsidR="007E0023">
              <w:rPr>
                <w:rFonts w:ascii="Arial" w:hAnsi="Arial" w:cs="Arial"/>
                <w:sz w:val="20"/>
                <w:szCs w:val="20"/>
              </w:rPr>
              <w:t xml:space="preserve">, </w:t>
            </w:r>
            <w:hyperlink w:anchor="Par272" w:history="1">
              <w:r w:rsidR="007E0023">
                <w:rPr>
                  <w:rFonts w:ascii="Arial" w:hAnsi="Arial" w:cs="Arial"/>
                  <w:color w:val="0000FF"/>
                  <w:sz w:val="20"/>
                  <w:szCs w:val="20"/>
                </w:rPr>
                <w:t>26</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любительской спутниковой службы</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малого радиуса действия</w:t>
            </w:r>
          </w:p>
        </w:tc>
        <w:tc>
          <w:tcPr>
            <w:tcW w:w="2117" w:type="dxa"/>
          </w:tcPr>
          <w:p w:rsidR="007E0023" w:rsidRDefault="00682AC2">
            <w:pPr>
              <w:autoSpaceDE w:val="0"/>
              <w:autoSpaceDN w:val="0"/>
              <w:adjustRightInd w:val="0"/>
              <w:spacing w:after="0" w:line="240" w:lineRule="auto"/>
              <w:jc w:val="center"/>
              <w:rPr>
                <w:rFonts w:ascii="Arial" w:hAnsi="Arial" w:cs="Arial"/>
                <w:sz w:val="20"/>
                <w:szCs w:val="20"/>
              </w:rPr>
            </w:pPr>
            <w:hyperlink w:anchor="Par260" w:history="1">
              <w:r w:rsidR="007E0023">
                <w:rPr>
                  <w:rFonts w:ascii="Arial" w:hAnsi="Arial" w:cs="Arial"/>
                  <w:color w:val="0000FF"/>
                  <w:sz w:val="20"/>
                  <w:szCs w:val="20"/>
                </w:rPr>
                <w:t>22</w:t>
              </w:r>
            </w:hyperlink>
            <w:r w:rsidR="007E0023">
              <w:rPr>
                <w:rFonts w:ascii="Arial" w:hAnsi="Arial" w:cs="Arial"/>
                <w:sz w:val="20"/>
                <w:szCs w:val="20"/>
              </w:rPr>
              <w:t xml:space="preserve">, </w:t>
            </w:r>
            <w:hyperlink w:anchor="Par261" w:history="1">
              <w:r w:rsidR="007E0023">
                <w:rPr>
                  <w:rFonts w:ascii="Arial" w:hAnsi="Arial" w:cs="Arial"/>
                  <w:color w:val="0000FF"/>
                  <w:sz w:val="20"/>
                  <w:szCs w:val="20"/>
                </w:rPr>
                <w:t>23</w:t>
              </w:r>
            </w:hyperlink>
            <w:r w:rsidR="007E0023">
              <w:rPr>
                <w:rFonts w:ascii="Arial" w:hAnsi="Arial" w:cs="Arial"/>
                <w:sz w:val="20"/>
                <w:szCs w:val="20"/>
              </w:rPr>
              <w:t xml:space="preserve">, </w:t>
            </w:r>
            <w:hyperlink w:anchor="Par265" w:history="1">
              <w:r w:rsidR="007E0023">
                <w:rPr>
                  <w:rFonts w:ascii="Arial" w:hAnsi="Arial" w:cs="Arial"/>
                  <w:color w:val="0000FF"/>
                  <w:sz w:val="20"/>
                  <w:szCs w:val="20"/>
                </w:rPr>
                <w:t>24</w:t>
              </w:r>
            </w:hyperlink>
            <w:r w:rsidR="007E0023">
              <w:rPr>
                <w:rFonts w:ascii="Arial" w:hAnsi="Arial" w:cs="Arial"/>
                <w:sz w:val="20"/>
                <w:szCs w:val="20"/>
              </w:rPr>
              <w:t xml:space="preserve">, </w:t>
            </w:r>
            <w:hyperlink w:anchor="Par268" w:history="1">
              <w:r w:rsidR="007E0023">
                <w:rPr>
                  <w:rFonts w:ascii="Arial" w:hAnsi="Arial" w:cs="Arial"/>
                  <w:color w:val="0000FF"/>
                  <w:sz w:val="20"/>
                  <w:szCs w:val="20"/>
                </w:rPr>
                <w:t>25</w:t>
              </w:r>
            </w:hyperlink>
            <w:r w:rsidR="007E0023">
              <w:rPr>
                <w:rFonts w:ascii="Arial" w:hAnsi="Arial" w:cs="Arial"/>
                <w:sz w:val="20"/>
                <w:szCs w:val="20"/>
              </w:rPr>
              <w:t xml:space="preserve">, </w:t>
            </w:r>
            <w:hyperlink w:anchor="Par272" w:history="1">
              <w:r w:rsidR="007E0023">
                <w:rPr>
                  <w:rFonts w:ascii="Arial" w:hAnsi="Arial" w:cs="Arial"/>
                  <w:color w:val="0000FF"/>
                  <w:sz w:val="20"/>
                  <w:szCs w:val="20"/>
                </w:rPr>
                <w:t>26</w:t>
              </w:r>
            </w:hyperlink>
            <w:r w:rsidR="007E0023">
              <w:rPr>
                <w:rFonts w:ascii="Arial" w:hAnsi="Arial" w:cs="Arial"/>
                <w:sz w:val="20"/>
                <w:szCs w:val="20"/>
              </w:rPr>
              <w:t xml:space="preserve">, </w:t>
            </w:r>
            <w:hyperlink w:anchor="Par273" w:history="1">
              <w:r w:rsidR="007E0023">
                <w:rPr>
                  <w:rFonts w:ascii="Arial" w:hAnsi="Arial" w:cs="Arial"/>
                  <w:color w:val="0000FF"/>
                  <w:sz w:val="20"/>
                  <w:szCs w:val="20"/>
                </w:rPr>
                <w:t>27</w:t>
              </w:r>
            </w:hyperlink>
            <w:r w:rsidR="007E0023">
              <w:rPr>
                <w:rFonts w:ascii="Arial" w:hAnsi="Arial" w:cs="Arial"/>
                <w:sz w:val="20"/>
                <w:szCs w:val="20"/>
              </w:rPr>
              <w:t xml:space="preserve">, </w:t>
            </w:r>
            <w:hyperlink w:anchor="Par285" w:history="1">
              <w:r w:rsidR="007E0023">
                <w:rPr>
                  <w:rFonts w:ascii="Arial" w:hAnsi="Arial" w:cs="Arial"/>
                  <w:color w:val="0000FF"/>
                  <w:sz w:val="20"/>
                  <w:szCs w:val="20"/>
                </w:rPr>
                <w:t>28</w:t>
              </w:r>
            </w:hyperlink>
            <w:r w:rsidR="007E0023">
              <w:rPr>
                <w:rFonts w:ascii="Arial" w:hAnsi="Arial" w:cs="Arial"/>
                <w:sz w:val="20"/>
                <w:szCs w:val="20"/>
              </w:rPr>
              <w:t xml:space="preserve">, </w:t>
            </w:r>
            <w:hyperlink w:anchor="Par292" w:history="1">
              <w:r w:rsidR="007E0023">
                <w:rPr>
                  <w:rFonts w:ascii="Arial" w:hAnsi="Arial" w:cs="Arial"/>
                  <w:color w:val="0000FF"/>
                  <w:sz w:val="20"/>
                  <w:szCs w:val="20"/>
                </w:rPr>
                <w:t>29</w:t>
              </w:r>
            </w:hyperlink>
            <w:r w:rsidR="007E0023">
              <w:rPr>
                <w:rFonts w:ascii="Arial" w:hAnsi="Arial" w:cs="Arial"/>
                <w:sz w:val="20"/>
                <w:szCs w:val="20"/>
              </w:rPr>
              <w:t xml:space="preserve">, </w:t>
            </w:r>
            <w:hyperlink w:anchor="Par295" w:history="1">
              <w:r w:rsidR="007E0023">
                <w:rPr>
                  <w:rFonts w:ascii="Arial" w:hAnsi="Arial" w:cs="Arial"/>
                  <w:color w:val="0000FF"/>
                  <w:sz w:val="20"/>
                  <w:szCs w:val="20"/>
                </w:rPr>
                <w:t>30</w:t>
              </w:r>
            </w:hyperlink>
            <w:r w:rsidR="007E0023">
              <w:rPr>
                <w:rFonts w:ascii="Arial" w:hAnsi="Arial" w:cs="Arial"/>
                <w:sz w:val="20"/>
                <w:szCs w:val="20"/>
              </w:rPr>
              <w:t xml:space="preserve">, </w:t>
            </w:r>
            <w:hyperlink w:anchor="Par296" w:history="1">
              <w:r w:rsidR="007E0023">
                <w:rPr>
                  <w:rFonts w:ascii="Arial" w:hAnsi="Arial" w:cs="Arial"/>
                  <w:color w:val="0000FF"/>
                  <w:sz w:val="20"/>
                  <w:szCs w:val="20"/>
                </w:rPr>
                <w:t>31</w:t>
              </w:r>
            </w:hyperlink>
            <w:r w:rsidR="007E0023">
              <w:rPr>
                <w:rFonts w:ascii="Arial" w:hAnsi="Arial" w:cs="Arial"/>
                <w:sz w:val="20"/>
                <w:szCs w:val="20"/>
              </w:rPr>
              <w:t xml:space="preserve">, </w:t>
            </w:r>
            <w:hyperlink w:anchor="Par297" w:history="1">
              <w:r w:rsidR="007E0023">
                <w:rPr>
                  <w:rFonts w:ascii="Arial" w:hAnsi="Arial" w:cs="Arial"/>
                  <w:color w:val="0000FF"/>
                  <w:sz w:val="20"/>
                  <w:szCs w:val="20"/>
                </w:rPr>
                <w:t>32</w:t>
              </w:r>
            </w:hyperlink>
            <w:r w:rsidR="007E0023">
              <w:rPr>
                <w:rFonts w:ascii="Arial" w:hAnsi="Arial" w:cs="Arial"/>
                <w:sz w:val="20"/>
                <w:szCs w:val="20"/>
              </w:rPr>
              <w:t xml:space="preserve">, </w:t>
            </w:r>
            <w:hyperlink w:anchor="Par298" w:history="1">
              <w:r w:rsidR="007E0023">
                <w:rPr>
                  <w:rFonts w:ascii="Arial" w:hAnsi="Arial" w:cs="Arial"/>
                  <w:color w:val="0000FF"/>
                  <w:sz w:val="20"/>
                  <w:szCs w:val="20"/>
                </w:rPr>
                <w:t>33</w:t>
              </w:r>
            </w:hyperlink>
            <w:r w:rsidR="007E0023">
              <w:rPr>
                <w:rFonts w:ascii="Arial" w:hAnsi="Arial" w:cs="Arial"/>
                <w:sz w:val="20"/>
                <w:szCs w:val="20"/>
              </w:rPr>
              <w:t xml:space="preserve">, </w:t>
            </w:r>
            <w:hyperlink w:anchor="Par300" w:history="1">
              <w:r w:rsidR="007E0023">
                <w:rPr>
                  <w:rFonts w:ascii="Arial" w:hAnsi="Arial" w:cs="Arial"/>
                  <w:color w:val="0000FF"/>
                  <w:sz w:val="20"/>
                  <w:szCs w:val="20"/>
                </w:rPr>
                <w:t>35</w:t>
              </w:r>
            </w:hyperlink>
            <w:r w:rsidR="007E0023">
              <w:rPr>
                <w:rFonts w:ascii="Arial" w:hAnsi="Arial" w:cs="Arial"/>
                <w:sz w:val="20"/>
                <w:szCs w:val="20"/>
              </w:rPr>
              <w:t xml:space="preserve">, </w:t>
            </w:r>
            <w:hyperlink w:anchor="Par322" w:history="1">
              <w:r w:rsidR="007E0023">
                <w:rPr>
                  <w:rFonts w:ascii="Arial" w:hAnsi="Arial" w:cs="Arial"/>
                  <w:color w:val="0000FF"/>
                  <w:sz w:val="20"/>
                  <w:szCs w:val="20"/>
                </w:rPr>
                <w:t>38</w:t>
              </w:r>
            </w:hyperlink>
            <w:r w:rsidR="007E0023">
              <w:rPr>
                <w:rFonts w:ascii="Arial" w:hAnsi="Arial" w:cs="Arial"/>
                <w:sz w:val="20"/>
                <w:szCs w:val="20"/>
              </w:rPr>
              <w:t xml:space="preserve">, </w:t>
            </w:r>
            <w:hyperlink w:anchor="Par323" w:history="1">
              <w:r w:rsidR="007E0023">
                <w:rPr>
                  <w:rFonts w:ascii="Arial" w:hAnsi="Arial" w:cs="Arial"/>
                  <w:color w:val="0000FF"/>
                  <w:sz w:val="20"/>
                  <w:szCs w:val="20"/>
                </w:rPr>
                <w:t>39</w:t>
              </w:r>
            </w:hyperlink>
            <w:r w:rsidR="007E0023">
              <w:rPr>
                <w:rFonts w:ascii="Arial" w:hAnsi="Arial" w:cs="Arial"/>
                <w:sz w:val="20"/>
                <w:szCs w:val="20"/>
              </w:rPr>
              <w:t xml:space="preserve">, </w:t>
            </w:r>
            <w:hyperlink w:anchor="Par327" w:history="1">
              <w:r w:rsidR="007E0023">
                <w:rPr>
                  <w:rFonts w:ascii="Arial" w:hAnsi="Arial" w:cs="Arial"/>
                  <w:color w:val="0000FF"/>
                  <w:sz w:val="20"/>
                  <w:szCs w:val="20"/>
                </w:rPr>
                <w:t>40</w:t>
              </w:r>
            </w:hyperlink>
            <w:r w:rsidR="007E0023">
              <w:rPr>
                <w:rFonts w:ascii="Arial" w:hAnsi="Arial" w:cs="Arial"/>
                <w:sz w:val="20"/>
                <w:szCs w:val="20"/>
              </w:rPr>
              <w:t xml:space="preserve">, </w:t>
            </w:r>
            <w:hyperlink w:anchor="Par331" w:history="1">
              <w:r w:rsidR="007E0023">
                <w:rPr>
                  <w:rFonts w:ascii="Arial" w:hAnsi="Arial" w:cs="Arial"/>
                  <w:color w:val="0000FF"/>
                  <w:sz w:val="20"/>
                  <w:szCs w:val="20"/>
                </w:rPr>
                <w:t>41</w:t>
              </w:r>
            </w:hyperlink>
          </w:p>
        </w:tc>
      </w:tr>
      <w:tr w:rsidR="007E0023">
        <w:tc>
          <w:tcPr>
            <w:tcW w:w="490" w:type="dxa"/>
            <w:tcBorders>
              <w:bottom w:val="single" w:sz="4" w:space="0" w:color="auto"/>
            </w:tcBorders>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6463" w:type="dxa"/>
            <w:tcBorders>
              <w:bottom w:val="single" w:sz="4" w:space="0" w:color="auto"/>
            </w:tcBorders>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Генераторы шума</w:t>
            </w:r>
          </w:p>
        </w:tc>
        <w:tc>
          <w:tcPr>
            <w:tcW w:w="2117" w:type="dxa"/>
            <w:tcBorders>
              <w:bottom w:val="single" w:sz="4" w:space="0" w:color="auto"/>
            </w:tcBorders>
          </w:tcPr>
          <w:p w:rsidR="007E0023" w:rsidRDefault="00682AC2">
            <w:pPr>
              <w:autoSpaceDE w:val="0"/>
              <w:autoSpaceDN w:val="0"/>
              <w:adjustRightInd w:val="0"/>
              <w:spacing w:after="0" w:line="240" w:lineRule="auto"/>
              <w:jc w:val="center"/>
              <w:rPr>
                <w:rFonts w:ascii="Arial" w:hAnsi="Arial" w:cs="Arial"/>
                <w:sz w:val="20"/>
                <w:szCs w:val="20"/>
              </w:rPr>
            </w:pPr>
            <w:hyperlink w:anchor="Par321" w:history="1">
              <w:r w:rsidR="007E0023">
                <w:rPr>
                  <w:rFonts w:ascii="Arial" w:hAnsi="Arial" w:cs="Arial"/>
                  <w:color w:val="0000FF"/>
                  <w:sz w:val="20"/>
                  <w:szCs w:val="20"/>
                </w:rPr>
                <w:t>37</w:t>
              </w:r>
            </w:hyperlink>
          </w:p>
        </w:tc>
      </w:tr>
    </w:tbl>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8" w:name="Par212"/>
      <w:bookmarkEnd w:id="8"/>
      <w:r>
        <w:rPr>
          <w:rFonts w:ascii="Arial" w:hAnsi="Arial" w:cs="Arial"/>
          <w:sz w:val="20"/>
          <w:szCs w:val="20"/>
        </w:rPr>
        <w:t xml:space="preserve">&lt;*&gt; Изъятия отдельных типов радиоэлектронных средств и высокочастотных устройств из подлежащих регистрации радиоэлектронных средств (высокочастотных устройств) соответствующих служб приведены в </w:t>
      </w:r>
      <w:hyperlink w:anchor="Par223" w:history="1">
        <w:r>
          <w:rPr>
            <w:rFonts w:ascii="Arial" w:hAnsi="Arial" w:cs="Arial"/>
            <w:color w:val="0000FF"/>
            <w:sz w:val="20"/>
            <w:szCs w:val="20"/>
          </w:rPr>
          <w:t>приложении</w:t>
        </w:r>
      </w:hyperlink>
      <w:r>
        <w:rPr>
          <w:rFonts w:ascii="Arial" w:hAnsi="Arial" w:cs="Arial"/>
          <w:sz w:val="20"/>
          <w:szCs w:val="20"/>
        </w:rPr>
        <w:t>.</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перечню радиоэлектронных средств</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высокочастотных устройств,</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подлежащих регистрации</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bookmarkStart w:id="9" w:name="Par223"/>
      <w:bookmarkEnd w:id="9"/>
      <w:r>
        <w:rPr>
          <w:rFonts w:ascii="Arial" w:hAnsi="Arial" w:cs="Arial"/>
          <w:b/>
          <w:bCs/>
          <w:sz w:val="20"/>
          <w:szCs w:val="20"/>
        </w:rPr>
        <w:t>ИЗЪЯТИЯ</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ИЗ ПЕРЕЧНЯ РАДИОЭЛЕКТРОННЫХ СРЕДСТВ И ВЫСОКОЧАСТОТНЫХ</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УСТРОЙСТВ, ПОДЛЕЖАЩИХ РЕГИСТРАЦИИ</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bookmarkStart w:id="10" w:name="Par227"/>
      <w:bookmarkEnd w:id="10"/>
      <w:r>
        <w:rPr>
          <w:rFonts w:ascii="Arial" w:hAnsi="Arial" w:cs="Arial"/>
          <w:sz w:val="20"/>
          <w:szCs w:val="20"/>
        </w:rPr>
        <w:t>1. Абонентские станции (абонентские устройства), разрешенные в установленном порядке для использования на территории Российской Федерации в сетях операторов связи, а также радиоэлектронные средства, подключаемые к сетям подвижной радиосвязи, имеющие в своем составе средства связи, выполняющие функции систем коммутации.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1" w:name="Par228"/>
      <w:bookmarkEnd w:id="11"/>
      <w:r>
        <w:rPr>
          <w:rFonts w:ascii="Arial" w:hAnsi="Arial" w:cs="Arial"/>
          <w:sz w:val="20"/>
          <w:szCs w:val="20"/>
        </w:rPr>
        <w:t>2. Абонентские устройства беспроводного доступа в информационно-телекоммуникационную сеть "Интернет", разрешенные в установленном порядке для использования на территории Российской Федерации, с максимальной мощностью излучения передатчика не более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абонентскими станциями (абонентскими устройствами) понимаются радиоэлектронные средства, находящиеся в пользовании у абонента.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2" w:name="Par230"/>
      <w:bookmarkEnd w:id="12"/>
      <w:r>
        <w:rPr>
          <w:rFonts w:ascii="Arial" w:hAnsi="Arial" w:cs="Arial"/>
          <w:sz w:val="20"/>
          <w:szCs w:val="20"/>
        </w:rPr>
        <w:lastRenderedPageBreak/>
        <w:t>3. Абонентские земные станции,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29,5 - 30 ГГц и 19,7 - 20,2 ГГц.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3" w:name="Par231"/>
      <w:bookmarkEnd w:id="13"/>
      <w:r>
        <w:rPr>
          <w:rFonts w:ascii="Arial" w:hAnsi="Arial" w:cs="Arial"/>
          <w:sz w:val="20"/>
          <w:szCs w:val="20"/>
        </w:rPr>
        <w:t>4. Станции сухопутной подвижной связи личного пользования диапазона 26690 - 27410 кГц (</w:t>
      </w:r>
      <w:proofErr w:type="spellStart"/>
      <w:r>
        <w:rPr>
          <w:rFonts w:ascii="Arial" w:hAnsi="Arial" w:cs="Arial"/>
          <w:sz w:val="20"/>
          <w:szCs w:val="20"/>
        </w:rPr>
        <w:t>СиБи</w:t>
      </w:r>
      <w:proofErr w:type="spellEnd"/>
      <w:r>
        <w:rPr>
          <w:rFonts w:ascii="Arial" w:hAnsi="Arial" w:cs="Arial"/>
          <w:sz w:val="20"/>
          <w:szCs w:val="20"/>
        </w:rPr>
        <w:t>-диапазона), за исключением каналов с центральными радиочастотами 26995 кГц, 27045 кГц, 27095 кГц, 27145 кГц и 27195 кГц с допустимой мощностью излучения передатчика не более 4 Вт включительно.</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4" w:name="Par232"/>
      <w:bookmarkEnd w:id="14"/>
      <w:r>
        <w:rPr>
          <w:rFonts w:ascii="Arial" w:hAnsi="Arial" w:cs="Arial"/>
          <w:sz w:val="20"/>
          <w:szCs w:val="20"/>
        </w:rPr>
        <w:t>5. Бытовые СВЧ-печи и другие высокочастотные устройства, предназначенные для обработки пищевых продуктов и приготовления пищи, медицинские ингаляторы и устройства зубопротезирования, медицинские ультразвуковые исследовательские и лечебные устройства, другие медицинские высокочастотные устройства для профилактики и лечения заболеваний, а также высокочастотные устройства любого применения с мощностью на нагрузочном устройстве менее 5 Вт включительно без открытого излучения.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5" w:name="Par233"/>
      <w:bookmarkEnd w:id="15"/>
      <w:r>
        <w:rPr>
          <w:rFonts w:ascii="Arial" w:hAnsi="Arial" w:cs="Arial"/>
          <w:sz w:val="20"/>
          <w:szCs w:val="20"/>
        </w:rPr>
        <w:t xml:space="preserve">6. Радиоэлектронные средства для обработки </w:t>
      </w:r>
      <w:proofErr w:type="spellStart"/>
      <w:r>
        <w:rPr>
          <w:rFonts w:ascii="Arial" w:hAnsi="Arial" w:cs="Arial"/>
          <w:sz w:val="20"/>
          <w:szCs w:val="20"/>
        </w:rPr>
        <w:t>штрихкодовых</w:t>
      </w:r>
      <w:proofErr w:type="spellEnd"/>
      <w:r>
        <w:rPr>
          <w:rFonts w:ascii="Arial" w:hAnsi="Arial" w:cs="Arial"/>
          <w:sz w:val="20"/>
          <w:szCs w:val="20"/>
        </w:rPr>
        <w:t xml:space="preserve"> этикеток и передачи информации, полученной с этих этикеток, в полосе радиочастот 433,05 - 434,79 (433,92 +/- 0,2%)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6" w:name="Par234"/>
      <w:bookmarkEnd w:id="16"/>
      <w:r>
        <w:rPr>
          <w:rFonts w:ascii="Arial" w:hAnsi="Arial" w:cs="Arial"/>
          <w:sz w:val="20"/>
          <w:szCs w:val="20"/>
        </w:rPr>
        <w:t xml:space="preserve">7. Слуховые </w:t>
      </w:r>
      <w:proofErr w:type="spellStart"/>
      <w:r>
        <w:rPr>
          <w:rFonts w:ascii="Arial" w:hAnsi="Arial" w:cs="Arial"/>
          <w:sz w:val="20"/>
          <w:szCs w:val="20"/>
        </w:rPr>
        <w:t>радиотренажеры</w:t>
      </w:r>
      <w:proofErr w:type="spellEnd"/>
      <w:r>
        <w:rPr>
          <w:rFonts w:ascii="Arial" w:hAnsi="Arial" w:cs="Arial"/>
          <w:sz w:val="20"/>
          <w:szCs w:val="20"/>
        </w:rPr>
        <w:t xml:space="preserve"> для людей с дефектами слуха на радиочастотах: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33,200 МГц; 33,350 МГц; 33,450 МГц; 33,550 МГц; 33,575 МГц; 33,600 МГц; 33,750 МГц; 33,850 МГц; 33,875 МГц; 33,900 МГц; 34,050 МГц; 34,150 МГц; 34,175 МГц; 34,200 МГц; 34,300 МГц; 34,375 МГц; 34,400 МГц; 34,975 МГц; 35,025 МГц; 35,150 МГц; 35,225 МГц; 35,375 МГц; 35,550 МГц; 35,650 МГц; 35,950 МГц; 35,975 МГц; 36,025 МГц; 36,075 МГц; 36,125 МГц; 36,175 МГц; 36,225 МГц; 36,275 МГц; 36,325 МГц; 36,375 МГц; 36,425 МГц; 36,475 МГц; 36,525 МГц; 36,575 МГц; 36,625 МГц; 36,675 МГц; 36,725 МГц; 36,775 МГц; 36,825 МГц; 36,875 МГц; 36,925 МГц; 36,975 МГц; 37,025 МГц; 37,075 МГц; 37,125 МГц; 37,175 МГц; 37,225 МГц; 37,275 МГц; 37,325 МГц; 37,375 МГц; 37,425 МГц; 37,475 МГц; 37,525 МГц; 37,575 МГц; 37,625 МГц; 37,675 МГц; 37,725 МГц; 37,775 МГц; 37,825 МГц; 37,875 МГц; 37,925 МГц; 37,975 МГц; 38,025 МГц; 38,075 МГц; 38,125 МГц; 38,175 МГц; 38,225 МГц; 38,275 МГц; 38,325 МГц; 38,375 МГц; 38,425 МГц; 38,475 МГц; 38,525 МГц; 38,575 МГц; 38,625 МГц; 38,675 МГц; 38,725 МГц; 38,775 МГц; 39,025 МГц; 39,225 МГц; 39,400 МГц; 39,600 МГц; 39,750 МГц; 39,850 МГц; 39,925 МГц; 39,975 МГц; 40,050 МГц; 40,150 МГц; 40,250 МГц; 40,325 МГц; 40,425 МГц; 40,650 МГц; 40,825 МГц; 41,300 МГц; 41,325 МГц; 41,350 МГц; 41,375 МГц; 41,400 МГц; 41,500 МГц; 41,600 МГц; 41,625 МГц; 41,650 МГц; 41,675 МГц; 41,700 МГц; 41,750 МГц; 41,800 МГц; 41,900 МГц; 41,950 МГц; 42,100 МГц; 42,150 МГц; 42,200 МГц; 42,250 МГц; 42,350 МГц; 42,450 МГц; 42,475 МГц; 42,500 МГц; 42,525 МГц; 42,550 МГц; 42,575 МГц; 42,600 МГц; 42,625 МГц; 42,650 МГц; 42,675 МГц; 42,700 МГц; 42,725 МГц; 42,750 МГц; 42,800 МГц; 42,850 МГц; 42,950 МГц; 42,975 МГц; 43,000 МГц; 43,150 МГц; 43,175 МГц; 43,200 МГц; 43,225 МГц; 43,250 МГц; 43,400 МГц; 43,500 МГц; 43,700 МГц; 43,725 МГц; 43,750 МГц; 43,800 МГц; 44,000 МГц; 44,250 МГц; 44,400 МГц; 44,475 МГц; 44,500 МГц; 44,650 МГц; 44,750 МГц; 44,975 МГц; 45,000 МГц; 45,250 МГц; 45,450 МГц; 45,475 МГц; 45,500 МГц; 45,650 МГц; 45,750 МГц; 45,800 МГц; 45,950 МГц; 45,975 МГц; 46,000 МГц; 46,125 МГц; 46,175 МГц; 46,225 МГц; 46,425 МГц; 46,450 МГц; 46,475 МГц; 46,550 МГц; 46,575 МГц; 46,600 МГц; 46,650 МГц; 46,675 МГц; 46,700 МГц; 46,775 МГц; 46,800 МГц; 46,825 МГц; 46,850 МГц; 46,875 МГц; 46,925 МГц; 46,950 МГц; 46,975 МГц; 47,000 МГц; 47,075 МГц; 47,125 МГц; 47,250 МГц; 47,300 МГц; 47,375 МГц; 47,400 МГц; 47,425 МГц; 47,450 МГц; 47,550 МГц; 47,575 МГц; 47,625 МГц; 47,675 МГц; 47,700 МГц; 47,725 МГц; 47,825 МГц; 47,850 МГц; 47,875 МГц; 47,925 МГц; 47,975 МГц; 48,075 МГц; 48,125 МГц; 48,150 МГц; 48,175 МГц; 48,325 МГц; 48,350 МГц; 48,375 МГц; 48,425 МГц; 48,450 МГц; 48,475 МГц; 57,0125 МГц; 57,0250 МГц; 57,0375 МГц; 57,0500 МГц; 57,0625 МГц; 57,0750 МГц; 57,0875 МГц; 57,1000 МГц; 57,1125 МГц; 57,1250 МГц; 57,1375 МГц; 57,1500 МГц; 57,1625 МГц; 57,1750 МГц; 57,1875 МГц; 57,2000 МГц; 57,2125 МГц; 57,2250 МГц; 57,2375 МГц; 57,2500 МГц; 57,2625 МГц; 57,2750 МГц; 57,2875 МГц; 57,3000 МГц; 57,3125 МГц; 57,3250 МГц; 57,3375 МГц; 57,3500 МГц; 57,3625 МГц; 57,3750 МГц; 57,3875 МГц; 57,4000 МГц; 57,4125 МГц; 57,4250 МГц; 57,4375 МГц; 57,4500 МГц; 57,4750 МГц; 57,4875 МГц; 57,5000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7" w:name="Par236"/>
      <w:bookmarkEnd w:id="17"/>
      <w:r>
        <w:rPr>
          <w:rFonts w:ascii="Arial" w:hAnsi="Arial" w:cs="Arial"/>
          <w:sz w:val="20"/>
          <w:szCs w:val="20"/>
        </w:rPr>
        <w:t xml:space="preserve">8. 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автомашин в полосе радиочастот 26,939 - 26,951 МГц на радиочастоте 26,945 МГц, 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помещений в полосе радиочастот 26,954 - 26,966 МГц на радиочастоте 26,960 МГц с максимальной мощностью излучения передатчика 2 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в полосе радиочастот 433,05 - 434,79 МГц с максимальной мощностью передатчика 5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в полосе радиочастот 868 - 868,2 МГц с максимальной мощностью передатчика 10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удаленных объектов в полосе радиочастот 149,95 - 150,0625 МГц с максимальной мощностью передатчика 25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8" w:name="Par240"/>
      <w:bookmarkEnd w:id="18"/>
      <w:r>
        <w:rPr>
          <w:rFonts w:ascii="Arial" w:hAnsi="Arial" w:cs="Arial"/>
          <w:sz w:val="20"/>
          <w:szCs w:val="20"/>
        </w:rPr>
        <w:t>9. Абонентские бесшнуровые телефонные аппараты в полосе радиочастот 30 - 41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Портативные абонентские </w:t>
      </w:r>
      <w:proofErr w:type="spellStart"/>
      <w:r>
        <w:rPr>
          <w:rFonts w:ascii="Arial" w:hAnsi="Arial" w:cs="Arial"/>
          <w:sz w:val="20"/>
          <w:szCs w:val="20"/>
        </w:rPr>
        <w:t>радиоблоки</w:t>
      </w:r>
      <w:proofErr w:type="spellEnd"/>
      <w:r>
        <w:rPr>
          <w:rFonts w:ascii="Arial" w:hAnsi="Arial" w:cs="Arial"/>
          <w:sz w:val="20"/>
          <w:szCs w:val="20"/>
        </w:rPr>
        <w:t xml:space="preserve"> и бесшнуровые телефонные аппараты технологии DECT в полосе радиочастот 1880 - 1900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9" w:name="Par242"/>
      <w:bookmarkEnd w:id="19"/>
      <w:r>
        <w:rPr>
          <w:rFonts w:ascii="Arial" w:hAnsi="Arial" w:cs="Arial"/>
          <w:sz w:val="20"/>
          <w:szCs w:val="20"/>
        </w:rPr>
        <w:t>10. Устройства управления моделями (игрушками в воздушном пространстве, на земле, на воде и под водой) в полосах радиочастот 28,0 - 28,2 МГц и 40,66 - 40,70 МГц с максимальной мощностью передатчика 1 Вт и максимальным коэффициентом усиления антенны 3 дБ, в полосе радиочастот 26,957 - 27,283 МГц (только на радиочастотах 26,995 МГц, 27,045 МГц, 27,095 МГц, 27,145 МГц и 27,195 МГц) с максимальной мощностью передатчика 10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0" w:name="Par243"/>
      <w:bookmarkEnd w:id="20"/>
      <w:r>
        <w:rPr>
          <w:rFonts w:ascii="Arial" w:hAnsi="Arial" w:cs="Arial"/>
          <w:sz w:val="20"/>
          <w:szCs w:val="20"/>
        </w:rPr>
        <w:t>11. Радиомикрофоны: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радиочастотах 165,70 МГц, 166,10 МГц, 166,50 МГц и 167,15 МГц с максимальной мощностью передатчика 20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полосах радиочастот 151 - 162,7 МГц, 163,2 - 168,5 МГц, 174 - 230 МГц, 470 - 638 МГц и 710 - 726 МГц с максимальной мощностью передатчика 5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типа "Караоке" в полосах радиочастот 66 - 74 МГц, 87,5 - 92 МГц и 100 - 108 МГц с максимальной мощностью передатчика 10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 закрытых помещений в полосе радиочастот 650 - 758 МГц с максимальной мощностью передатчика 50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1" w:name="Par248"/>
      <w:bookmarkEnd w:id="21"/>
      <w:r>
        <w:rPr>
          <w:rFonts w:ascii="Arial" w:hAnsi="Arial" w:cs="Arial"/>
          <w:sz w:val="20"/>
          <w:szCs w:val="20"/>
        </w:rPr>
        <w:t>12. Радиоэлектронные средства технологии "</w:t>
      </w:r>
      <w:proofErr w:type="spellStart"/>
      <w:r>
        <w:rPr>
          <w:rFonts w:ascii="Arial" w:hAnsi="Arial" w:cs="Arial"/>
          <w:sz w:val="20"/>
          <w:szCs w:val="20"/>
        </w:rPr>
        <w:t>Bluetooth</w:t>
      </w:r>
      <w:proofErr w:type="spellEnd"/>
      <w:r>
        <w:rPr>
          <w:rFonts w:ascii="Arial" w:hAnsi="Arial" w:cs="Arial"/>
          <w:sz w:val="20"/>
          <w:szCs w:val="20"/>
        </w:rPr>
        <w:t>" в полосе радиочастот 2400 - 2483,5 МГц с максимальной эквивалентной изотропно-излучаемой мощностью передатчика не более 2,5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2" w:name="Par249"/>
      <w:bookmarkEnd w:id="22"/>
      <w:r>
        <w:rPr>
          <w:rFonts w:ascii="Arial" w:hAnsi="Arial" w:cs="Arial"/>
          <w:sz w:val="20"/>
          <w:szCs w:val="20"/>
        </w:rPr>
        <w:t>13. Маломощные радиостанции в полосе радиочастот 433,075 - 434,750 МГц с мощностью излучения передающих устройств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3" w:name="Par250"/>
      <w:bookmarkEnd w:id="23"/>
      <w:r>
        <w:rPr>
          <w:rFonts w:ascii="Arial" w:hAnsi="Arial" w:cs="Arial"/>
          <w:sz w:val="20"/>
          <w:szCs w:val="20"/>
        </w:rPr>
        <w:t>14. Пользовательское (оконечное) оборудование передающее, включающее в себя приемное устройство, малого радиуса действия стандартов IEEE 802.11, IEEE 802.11b, IEEE 802.11g, IEEE 802.11n, IEEE 802.11ax (</w:t>
      </w:r>
      <w:proofErr w:type="spellStart"/>
      <w:r>
        <w:rPr>
          <w:rFonts w:ascii="Arial" w:hAnsi="Arial" w:cs="Arial"/>
          <w:sz w:val="20"/>
          <w:szCs w:val="20"/>
        </w:rPr>
        <w:t>Wi-Fi</w:t>
      </w:r>
      <w:proofErr w:type="spellEnd"/>
      <w:r>
        <w:rPr>
          <w:rFonts w:ascii="Arial" w:hAnsi="Arial" w:cs="Arial"/>
          <w:sz w:val="20"/>
          <w:szCs w:val="20"/>
        </w:rPr>
        <w:t>), работающее в полосе радиочастот 2400 - 2483,5 МГц, с допустимой мощностью излучения передатчика не более 100 мВт, в том числе встроенное либо входящее в состав других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Пользовательское (оконечное) оборудование передающее, включающее в себя приемное устройство, малого радиуса действия стандартов IEEE 802.11a, IEEE 802.11n, IEEE 802.11ac, IEEE 802.11ax (</w:t>
      </w:r>
      <w:proofErr w:type="spellStart"/>
      <w:r>
        <w:rPr>
          <w:rFonts w:ascii="Arial" w:hAnsi="Arial" w:cs="Arial"/>
          <w:sz w:val="20"/>
          <w:szCs w:val="20"/>
        </w:rPr>
        <w:t>Wi-Fi</w:t>
      </w:r>
      <w:proofErr w:type="spellEnd"/>
      <w:r>
        <w:rPr>
          <w:rFonts w:ascii="Arial" w:hAnsi="Arial" w:cs="Arial"/>
          <w:sz w:val="20"/>
          <w:szCs w:val="20"/>
        </w:rPr>
        <w:t>), работающее в полосах радиочастот 5150 - 5350 МГц и 5650 - 6425 МГц, с допустимой мощностью излучения передатчика не более 100 мВт, в том числе встроенное либо входящее в состав других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Пользовательское (оконечное) оборудование передающее, включающее в себя приемное устройство, работающее в полосах радиочастот 2300 - 2400 МГц, 2500 - 2690 МГц, с допустимой мощностью излучения передатчика не более 1 Вт, в том числе встроенное либо входящее в состав других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4" w:name="Par253"/>
      <w:bookmarkEnd w:id="24"/>
      <w:r>
        <w:rPr>
          <w:rFonts w:ascii="Arial" w:hAnsi="Arial" w:cs="Arial"/>
          <w:sz w:val="20"/>
          <w:szCs w:val="20"/>
        </w:rPr>
        <w:t>15. Радиоэлектронные средства, предназначенные только для приема радиоволн и не требующие защиты от помех со стороны других радиоэлектронных средств, в том числе радиоэлектронные средства, используемые для индивидуального приема программ телевизионного вещания и радиовещания, сигналов персональных радиовызовов (</w:t>
      </w:r>
      <w:proofErr w:type="spellStart"/>
      <w:r>
        <w:rPr>
          <w:rFonts w:ascii="Arial" w:hAnsi="Arial" w:cs="Arial"/>
          <w:sz w:val="20"/>
          <w:szCs w:val="20"/>
        </w:rPr>
        <w:t>радиопейджеры</w:t>
      </w:r>
      <w:proofErr w:type="spellEnd"/>
      <w:r>
        <w:rPr>
          <w:rFonts w:ascii="Arial" w:hAnsi="Arial" w:cs="Arial"/>
          <w:sz w:val="20"/>
          <w:szCs w:val="20"/>
        </w:rPr>
        <w:t>), персональной радионавигации, включая пользовательские устройства радионавигационных спутниковых систем, не содержащие радиоизлучающих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5" w:name="Par254"/>
      <w:bookmarkEnd w:id="25"/>
      <w:r>
        <w:rPr>
          <w:rFonts w:ascii="Arial" w:hAnsi="Arial" w:cs="Arial"/>
          <w:sz w:val="20"/>
          <w:szCs w:val="20"/>
        </w:rPr>
        <w:lastRenderedPageBreak/>
        <w:t>16. Абонентские приемопередатчики систем радиопоиска с мощностью излучения передающих устройств до 2 Вт, разрешенные в установленном порядке для использования на территории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6" w:name="Par255"/>
      <w:bookmarkEnd w:id="26"/>
      <w:r>
        <w:rPr>
          <w:rFonts w:ascii="Arial" w:hAnsi="Arial" w:cs="Arial"/>
          <w:sz w:val="20"/>
          <w:szCs w:val="20"/>
        </w:rPr>
        <w:t>17. Абонентские приемопередатчики поисковой радиосвязи и определения местоположения подвижных объектов "NEX NET" в полосе радиочастот 847 - 849 МГц с мощностью излучения передающих устройств до 0,125 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7" w:name="Par256"/>
      <w:bookmarkEnd w:id="27"/>
      <w:r>
        <w:rPr>
          <w:rFonts w:ascii="Arial" w:hAnsi="Arial" w:cs="Arial"/>
          <w:sz w:val="20"/>
          <w:szCs w:val="20"/>
        </w:rPr>
        <w:t>18. Портативные радиостанции в полосе радиочастот 446 - 446,1 МГц с мощностью излучения передающих устройств не более 0,5 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8" w:name="Par257"/>
      <w:bookmarkEnd w:id="28"/>
      <w:r>
        <w:rPr>
          <w:rFonts w:ascii="Arial" w:hAnsi="Arial" w:cs="Arial"/>
          <w:sz w:val="20"/>
          <w:szCs w:val="20"/>
        </w:rPr>
        <w:t xml:space="preserve">19. Детские радиосигнальные и радиопереговорные устройства, а также устройства </w:t>
      </w:r>
      <w:proofErr w:type="spellStart"/>
      <w:r>
        <w:rPr>
          <w:rFonts w:ascii="Arial" w:hAnsi="Arial" w:cs="Arial"/>
          <w:sz w:val="20"/>
          <w:szCs w:val="20"/>
        </w:rPr>
        <w:t>радиоконтроля</w:t>
      </w:r>
      <w:proofErr w:type="spellEnd"/>
      <w:r>
        <w:rPr>
          <w:rFonts w:ascii="Arial" w:hAnsi="Arial" w:cs="Arial"/>
          <w:sz w:val="20"/>
          <w:szCs w:val="20"/>
        </w:rPr>
        <w:t xml:space="preserve"> за ребенком в полосах радиочастот 38,7 - 39,23 МГц и 40,66 - 40,7 МГц с мощностью излучения передающих устройств до 10 мВт, а также в полосе радиочастот 863,933 - 864,045 МГц с мощностью излучения передающих устройств до 2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9" w:name="Par258"/>
      <w:bookmarkEnd w:id="29"/>
      <w:r>
        <w:rPr>
          <w:rFonts w:ascii="Arial" w:hAnsi="Arial" w:cs="Arial"/>
          <w:sz w:val="20"/>
          <w:szCs w:val="20"/>
        </w:rPr>
        <w:t>20. Станции любительской службы, временно ввозимые на территорию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0" w:name="Par259"/>
      <w:bookmarkEnd w:id="30"/>
      <w:r>
        <w:rPr>
          <w:rFonts w:ascii="Arial" w:hAnsi="Arial" w:cs="Arial"/>
          <w:sz w:val="20"/>
          <w:szCs w:val="20"/>
        </w:rPr>
        <w:t>21. Высокочастотные устройства при использовании частот 10 кГц и ниже.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1" w:name="Par260"/>
      <w:bookmarkEnd w:id="31"/>
      <w:r>
        <w:rPr>
          <w:rFonts w:ascii="Arial" w:hAnsi="Arial" w:cs="Arial"/>
          <w:sz w:val="20"/>
          <w:szCs w:val="20"/>
        </w:rPr>
        <w:t>22. Радиоэлектронные средства для обнаружения и спасания пострадавших от стихийных бедствий, работающие на радиочастоте 457 кГц.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2" w:name="Par261"/>
      <w:bookmarkEnd w:id="32"/>
      <w:r>
        <w:rPr>
          <w:rFonts w:ascii="Arial" w:hAnsi="Arial" w:cs="Arial"/>
          <w:sz w:val="20"/>
          <w:szCs w:val="20"/>
        </w:rPr>
        <w:t>23. Неспециализированные (любого назначения) оконечные устройства в полосах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26,957 - 27,283 МГц, 40,660 - 40,700 МГц и 433,075 - 434,790 МГц с эквивалентной изотропно-излучаемой мощностью не более минус 17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2400 - 2483,5 МГц с эквивалентной изотропно-излучаемой мощностью не более минус 20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864 - 865 МГц, 868,7 - 869,2 МГц и 5725 - 5875 МГц с максимальной эффективной излучаемой мощностью 25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3" w:name="Par265"/>
      <w:bookmarkEnd w:id="33"/>
      <w:r>
        <w:rPr>
          <w:rFonts w:ascii="Arial" w:hAnsi="Arial" w:cs="Arial"/>
          <w:sz w:val="20"/>
          <w:szCs w:val="20"/>
        </w:rPr>
        <w:t>24.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используемые на борту воздушных судов в полосах радиочастот 5150 - 5250 МГц, 5250 - 5350 МГц и 5650 - 5825 МГц с максимальной эквивалентной изотропно-излучаемой мощностью не более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используемые внутри закрытых помещений в полосах радиочастот 5150 - 5350 МГц, 5650 - 5850 МГц с максимальной эквивалентной изотропно-излучаемой мощностью не более 200 мВт и максимальной спектральной плотностью эквивалентной изотропно-излучаемой мощности не более 10 мВт/МГц.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4" w:name="Par268"/>
      <w:bookmarkEnd w:id="34"/>
      <w:r>
        <w:rPr>
          <w:rFonts w:ascii="Arial" w:hAnsi="Arial" w:cs="Arial"/>
          <w:sz w:val="20"/>
          <w:szCs w:val="20"/>
        </w:rPr>
        <w:t>25. Устройства малого радиуса действия в сетях беспроводной передачи данных и другие устройства с функцией передачи данных в полосе радиочастот 2400 - 2483,5 МГц при использовании псевдослучайной перестройки рабочей частоты с максимальной эквивалентной изотропно-излучаемой мощностью не более 100 мВт, при ширине канала не менее 1 МГц, при времени пребывания (работы) на одной несущей, выбор которой осуществляется по псевдослучайному закону не более 0,4 с, и количестве каналов псевдослучайной перестройки рабочей частоты не менее 15.</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2400 - 2483,5 МГц, с прямым расширением спектра и другими видами модуляции с максимальной эквивалентной изотропно-излучаемой мощностью не более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максимальной спектральной плотности эквивалентной изотропно-излучаемой мощности 10 мВт/МГц;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максимальной спектральной плотности эквивалентной изотропно-излучаемой мощности 20 мВт/МГц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5" w:name="Par272"/>
      <w:bookmarkEnd w:id="35"/>
      <w:r>
        <w:rPr>
          <w:rFonts w:ascii="Arial" w:hAnsi="Arial" w:cs="Arial"/>
          <w:sz w:val="20"/>
          <w:szCs w:val="20"/>
        </w:rPr>
        <w:lastRenderedPageBreak/>
        <w:t xml:space="preserve">26. 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57 - 66 ГГц, с прямым расширением спектра и другими видами модуляции с максимальной эквивалентной изотропно-излучаемой мощностью 40 </w:t>
      </w:r>
      <w:proofErr w:type="spellStart"/>
      <w:r>
        <w:rPr>
          <w:rFonts w:ascii="Arial" w:hAnsi="Arial" w:cs="Arial"/>
          <w:sz w:val="20"/>
          <w:szCs w:val="20"/>
        </w:rPr>
        <w:t>дБм</w:t>
      </w:r>
      <w:proofErr w:type="spellEnd"/>
      <w:r>
        <w:rPr>
          <w:rFonts w:ascii="Arial" w:hAnsi="Arial" w:cs="Arial"/>
          <w:sz w:val="20"/>
          <w:szCs w:val="20"/>
        </w:rPr>
        <w:t xml:space="preserve"> и максимальной спектральной плотности эквивалентной изотропно-излучаемой мощности 13 </w:t>
      </w:r>
      <w:proofErr w:type="spellStart"/>
      <w:r>
        <w:rPr>
          <w:rFonts w:ascii="Arial" w:hAnsi="Arial" w:cs="Arial"/>
          <w:sz w:val="20"/>
          <w:szCs w:val="20"/>
        </w:rPr>
        <w:t>дБм</w:t>
      </w:r>
      <w:proofErr w:type="spellEnd"/>
      <w:r>
        <w:rPr>
          <w:rFonts w:ascii="Arial" w:hAnsi="Arial" w:cs="Arial"/>
          <w:sz w:val="20"/>
          <w:szCs w:val="20"/>
        </w:rPr>
        <w:t>/МГц внутри закрытых помещений.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6" w:name="Par273"/>
      <w:bookmarkEnd w:id="36"/>
      <w:r>
        <w:rPr>
          <w:rFonts w:ascii="Arial" w:hAnsi="Arial" w:cs="Arial"/>
          <w:sz w:val="20"/>
          <w:szCs w:val="20"/>
        </w:rPr>
        <w:t>27. Индукционные устройства в полосе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9 - 59,75 кГц с максимальной напряженностью магнитного поля 72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59,75 - 60,25 кГц, 70 - 119 кГц, 6765 - 6795 кГц, 13,553 - 13,567 МГц и 26,958 - 27,283 МГц с максимальной напряженностью магнитного поля 42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60,25 - 70 кГц с максимальной напряженностью магнитного поля 69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119 - 135 кГц с максимальной напряженностью магнитного поля 66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135 - 140 кГц с максимальной напряженностью магнитного поля 42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140 - 148,5 кГц с максимальной напряженностью магнитного поля 37,7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3155 - 3400 кГц с максимальной напряженностью магнитного поля 13,5 дБ (мкА/м) на расстоянии 10 м для применения внутри закрытых помещений;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148 - 5000 кГц с максимальной напряженностью магнитного поля минус 5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5 - 30 МГц с максимальной напряженностью магнитного поля минус 5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7,4 - 8,8 МГц с максимальной напряженностью магнитного поля 9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10,2 - 11 МГц с максимальной напряженностью магнитного поля 4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7" w:name="Par285"/>
      <w:bookmarkEnd w:id="37"/>
      <w:r>
        <w:rPr>
          <w:rFonts w:ascii="Arial" w:hAnsi="Arial" w:cs="Arial"/>
          <w:sz w:val="20"/>
          <w:szCs w:val="20"/>
        </w:rPr>
        <w:t xml:space="preserve">28. Устройства для обнаружения передвижения и устройства </w:t>
      </w:r>
      <w:proofErr w:type="spellStart"/>
      <w:r>
        <w:rPr>
          <w:rFonts w:ascii="Arial" w:hAnsi="Arial" w:cs="Arial"/>
          <w:sz w:val="20"/>
          <w:szCs w:val="20"/>
        </w:rPr>
        <w:t>радиосигнализации</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полосе радиочастот 24,05 - 24,25 ГГц с максимальной эквивалентной изотропно-излучаемой мощностью 100 мВт (автомобильные и фиксированные радары);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76 - 77 ГГц с максимальной эквивалентной изотропно-излучаемой мощностью 5 </w:t>
      </w:r>
      <w:proofErr w:type="spellStart"/>
      <w:r>
        <w:rPr>
          <w:rFonts w:ascii="Arial" w:hAnsi="Arial" w:cs="Arial"/>
          <w:sz w:val="20"/>
          <w:szCs w:val="20"/>
        </w:rPr>
        <w:t>дБВт</w:t>
      </w:r>
      <w:proofErr w:type="spellEnd"/>
      <w:r>
        <w:rPr>
          <w:rFonts w:ascii="Arial" w:hAnsi="Arial" w:cs="Arial"/>
          <w:sz w:val="20"/>
          <w:szCs w:val="20"/>
        </w:rPr>
        <w:t xml:space="preserve"> (автомобильные радары);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77 - 81 ГГц с максимальной спектральной плотностью эквивалентной изотропно-излучаемой мощности минус 33 </w:t>
      </w:r>
      <w:proofErr w:type="spellStart"/>
      <w:r>
        <w:rPr>
          <w:rFonts w:ascii="Arial" w:hAnsi="Arial" w:cs="Arial"/>
          <w:sz w:val="20"/>
          <w:szCs w:val="20"/>
        </w:rPr>
        <w:t>дБВт</w:t>
      </w:r>
      <w:proofErr w:type="spellEnd"/>
      <w:r>
        <w:rPr>
          <w:rFonts w:ascii="Arial" w:hAnsi="Arial" w:cs="Arial"/>
          <w:sz w:val="20"/>
          <w:szCs w:val="20"/>
        </w:rPr>
        <w:t>/МГц (автомобильные сверхширокополосные радары);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9200 - 9975 МГц с эквивалентной изотропно-излучаемой мощностью не более минус 17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10,54 - 10,56 ГГц и 2440 - 2460 МГц с эквивалентной изотропно-излучаемой мощностью минус 10 </w:t>
      </w:r>
      <w:proofErr w:type="spellStart"/>
      <w:r>
        <w:rPr>
          <w:rFonts w:ascii="Arial" w:hAnsi="Arial" w:cs="Arial"/>
          <w:sz w:val="20"/>
          <w:szCs w:val="20"/>
        </w:rPr>
        <w:t>дБВт</w:t>
      </w:r>
      <w:proofErr w:type="spellEnd"/>
      <w:r>
        <w:rPr>
          <w:rFonts w:ascii="Arial" w:hAnsi="Arial" w:cs="Arial"/>
          <w:sz w:val="20"/>
          <w:szCs w:val="20"/>
        </w:rPr>
        <w:t xml:space="preserve"> (только на борту речных и морских судов);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22 - 26,65 ГГц со спектральной плотностью эквивалентной изотропно-излучаемой мощности не более минус 41,3 </w:t>
      </w:r>
      <w:proofErr w:type="spellStart"/>
      <w:r>
        <w:rPr>
          <w:rFonts w:ascii="Arial" w:hAnsi="Arial" w:cs="Arial"/>
          <w:sz w:val="20"/>
          <w:szCs w:val="20"/>
        </w:rPr>
        <w:t>дБм</w:t>
      </w:r>
      <w:proofErr w:type="spellEnd"/>
      <w:r>
        <w:rPr>
          <w:rFonts w:ascii="Arial" w:hAnsi="Arial" w:cs="Arial"/>
          <w:sz w:val="20"/>
          <w:szCs w:val="20"/>
        </w:rPr>
        <w:t>/МГц (автомобильные радары ближнего действия).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8" w:name="Par292"/>
      <w:bookmarkEnd w:id="38"/>
      <w:r>
        <w:rPr>
          <w:rFonts w:ascii="Arial" w:hAnsi="Arial" w:cs="Arial"/>
          <w:sz w:val="20"/>
          <w:szCs w:val="20"/>
        </w:rPr>
        <w:t>29. Устройства радиочастотной идентификации в полосе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13,553 - 13,567 МГц с максимальной напряженностью магнитного поля 60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866,6 - 867,4 МГц с эффективной излучаемой мощностью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9" w:name="Par295"/>
      <w:bookmarkEnd w:id="39"/>
      <w:r>
        <w:rPr>
          <w:rFonts w:ascii="Arial" w:hAnsi="Arial" w:cs="Arial"/>
          <w:sz w:val="20"/>
          <w:szCs w:val="20"/>
        </w:rPr>
        <w:t xml:space="preserve">30. </w:t>
      </w:r>
      <w:proofErr w:type="spellStart"/>
      <w:r>
        <w:rPr>
          <w:rFonts w:ascii="Arial" w:hAnsi="Arial" w:cs="Arial"/>
          <w:sz w:val="20"/>
          <w:szCs w:val="20"/>
        </w:rPr>
        <w:t>Телематические</w:t>
      </w:r>
      <w:proofErr w:type="spellEnd"/>
      <w:r>
        <w:rPr>
          <w:rFonts w:ascii="Arial" w:hAnsi="Arial" w:cs="Arial"/>
          <w:sz w:val="20"/>
          <w:szCs w:val="20"/>
        </w:rPr>
        <w:t xml:space="preserve"> устройства на транспорте в полосе радиочастот 5795 - 5815 МГц с эффективной излучаемой мощностью 200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0" w:name="Par296"/>
      <w:bookmarkEnd w:id="40"/>
      <w:r>
        <w:rPr>
          <w:rFonts w:ascii="Arial" w:hAnsi="Arial" w:cs="Arial"/>
          <w:sz w:val="20"/>
          <w:szCs w:val="20"/>
        </w:rPr>
        <w:lastRenderedPageBreak/>
        <w:t xml:space="preserve">31. Беспроводное </w:t>
      </w:r>
      <w:proofErr w:type="spellStart"/>
      <w:r>
        <w:rPr>
          <w:rFonts w:ascii="Arial" w:hAnsi="Arial" w:cs="Arial"/>
          <w:sz w:val="20"/>
          <w:szCs w:val="20"/>
        </w:rPr>
        <w:t>аудиооборудование</w:t>
      </w:r>
      <w:proofErr w:type="spellEnd"/>
      <w:r>
        <w:rPr>
          <w:rFonts w:ascii="Arial" w:hAnsi="Arial" w:cs="Arial"/>
          <w:sz w:val="20"/>
          <w:szCs w:val="20"/>
        </w:rPr>
        <w:t xml:space="preserve"> в полосе радиочастот 863 - 865 МГц с эффективной излучаемой мощностью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1" w:name="Par297"/>
      <w:bookmarkEnd w:id="41"/>
      <w:r>
        <w:rPr>
          <w:rFonts w:ascii="Arial" w:hAnsi="Arial" w:cs="Arial"/>
          <w:sz w:val="20"/>
          <w:szCs w:val="20"/>
        </w:rPr>
        <w:t xml:space="preserve">32. Беспроводные </w:t>
      </w:r>
      <w:proofErr w:type="spellStart"/>
      <w:r>
        <w:rPr>
          <w:rFonts w:ascii="Arial" w:hAnsi="Arial" w:cs="Arial"/>
          <w:sz w:val="20"/>
          <w:szCs w:val="20"/>
        </w:rPr>
        <w:t>аудиоприложения</w:t>
      </w:r>
      <w:proofErr w:type="spellEnd"/>
      <w:r>
        <w:rPr>
          <w:rFonts w:ascii="Arial" w:hAnsi="Arial" w:cs="Arial"/>
          <w:sz w:val="20"/>
          <w:szCs w:val="20"/>
        </w:rPr>
        <w:t xml:space="preserve"> для использования внутри салонов автомобилей, других транспортных средств, а также внутри закрытых помещений в полосе радиочастот 87,5 - 108 МГц с максимальной эквивалентной изотропно-излучаемой мощностью передатчика не более минус 43 </w:t>
      </w:r>
      <w:proofErr w:type="spellStart"/>
      <w:r>
        <w:rPr>
          <w:rFonts w:ascii="Arial" w:hAnsi="Arial" w:cs="Arial"/>
          <w:sz w:val="20"/>
          <w:szCs w:val="20"/>
        </w:rPr>
        <w:t>дБм</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2" w:name="Par298"/>
      <w:bookmarkEnd w:id="42"/>
      <w:r>
        <w:rPr>
          <w:rFonts w:ascii="Arial" w:hAnsi="Arial" w:cs="Arial"/>
          <w:sz w:val="20"/>
          <w:szCs w:val="20"/>
        </w:rPr>
        <w:t>33. Радиоэлектронные средства интеллектуальных систем на транспорте (ITS) в диапазоне радиочастот 63 - 64 ГГц.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3" w:name="Par299"/>
      <w:bookmarkEnd w:id="43"/>
      <w:r>
        <w:rPr>
          <w:rFonts w:ascii="Arial" w:hAnsi="Arial" w:cs="Arial"/>
          <w:sz w:val="20"/>
          <w:szCs w:val="20"/>
        </w:rPr>
        <w:t>34. Базовые станции сетей подвижной радиосвязи стандарта GSM в полосах радиочастот 1710 - 1785 МГц и 1805 - 1880 МГц, устанавливаемые на борту морских и воздушных судов.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4" w:name="Par300"/>
      <w:bookmarkEnd w:id="44"/>
      <w:r>
        <w:rPr>
          <w:rFonts w:ascii="Arial" w:hAnsi="Arial" w:cs="Arial"/>
          <w:sz w:val="20"/>
          <w:szCs w:val="20"/>
        </w:rPr>
        <w:t>35. 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2850 - 3375 МГц с максимальной спектральной плотностью эквивалентной изотропно-излучаемой мощностью передатчика минус 57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3375 - 3950 МГц с максимальной спектральной плотностью эквивалентной изотропно-излучаемой мощностью передатчика минус 61,5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3950 - 4425 МГц с максимальной спектральной плотностью эквивалентной изотропно-излучаемой мощностью передатчика минус 54,5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4425 - 5470 МГц с максимальной спектральной плотностью эквивалентной изотропно-излучаемой мощностью передатчика минус 50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5470 - 6000 МГц с максимальной спектральной плотностью эквивалентной изотропно-излучаемой мощностью передатчика минус 62,5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6000 - 8100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8100 - 8625 МГц с максимальной спектральной плотностью эквивалентной изотропно-излучаемой мощностью передатчика минус 65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8625 - 9150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9150 - 10600 МГц с максимальной спектральной плотностью эквивалентной изотропно-излучаемой мощностью передатчика минус 45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без ограничений по территории: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2850 - 3375 МГц с максимальной спектральной плотностью эквивалентной изотропно-излучаемой мощностью передатчика минус 57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3375 - 4800 МГц с максимальной спектральной плотностью эквивалентной изотропно-излучаемой мощностью передатчика минус 76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4800 - 5475 МГц с максимальной спектральной плотностью эквивалентной изотропно-излучаемой мощностью передатчика минус 50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5475 - 6000 МГц с максимальной спектральной плотностью эквивалентной изотропно-излучаемой мощностью передатчика минус 62,5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6000 - 7250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7250 - 7750 МГц с максимальной спектральной плотностью эквивалентной изотропно-излучаемой мощностью передатчика минус 73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7750 - 8625 МГц с максимальной спектральной плотностью эквивалентной изотропно-излучаемой мощностью передатчика минус 69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8625 - 9150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9150 - 10600 МГц с максимальной спектральной плотностью эквивалентной изотропно-излучаемой мощностью передатчика минус 45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Персональные аварийные радиобуи (радиомаяки) системы КОСПАС-САРСАТ в полосах радиочастот 121,45 - 121,55 МГц и 406 - 406,1 МГц, разрешенные в установленном порядке для использования на территории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5" w:name="Par321"/>
      <w:bookmarkEnd w:id="45"/>
      <w:r>
        <w:rPr>
          <w:rFonts w:ascii="Arial" w:hAnsi="Arial" w:cs="Arial"/>
          <w:sz w:val="20"/>
          <w:szCs w:val="20"/>
        </w:rPr>
        <w:t>37. 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6" w:name="Par322"/>
      <w:bookmarkEnd w:id="46"/>
      <w:r>
        <w:rPr>
          <w:rFonts w:ascii="Arial" w:hAnsi="Arial" w:cs="Arial"/>
          <w:sz w:val="20"/>
          <w:szCs w:val="20"/>
        </w:rPr>
        <w:t>38. Устройства для обнаружения и спасания пострадавших от снежных лавин на радиочастоте 457 кГц с максимальной напряженностью магнитного поля 7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7" w:name="Par323"/>
      <w:bookmarkEnd w:id="47"/>
      <w:r>
        <w:rPr>
          <w:rFonts w:ascii="Arial" w:hAnsi="Arial" w:cs="Arial"/>
          <w:sz w:val="20"/>
          <w:szCs w:val="20"/>
        </w:rPr>
        <w:t>39. Активные медицинские имплантаты и связанное с ними дополнительное оборудование: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402 - 405 МГц с максимальной эквивалентной изотропно-излучаемой мощностью минус 50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полосах радиочастот 401 - 402 МГц, 405 - 406 МГц с максимальной эффективной излучаемой мощностью минус 66 </w:t>
      </w:r>
      <w:proofErr w:type="spellStart"/>
      <w:r>
        <w:rPr>
          <w:rFonts w:ascii="Arial" w:hAnsi="Arial" w:cs="Arial"/>
          <w:sz w:val="20"/>
          <w:szCs w:val="20"/>
        </w:rPr>
        <w:t>дБВт</w:t>
      </w:r>
      <w:proofErr w:type="spellEnd"/>
      <w:r>
        <w:rPr>
          <w:rFonts w:ascii="Arial" w:hAnsi="Arial" w:cs="Arial"/>
          <w:sz w:val="20"/>
          <w:szCs w:val="20"/>
        </w:rPr>
        <w:t xml:space="preserve"> либо с максимальной эффективной излучаемой мощностью минус 46 </w:t>
      </w:r>
      <w:proofErr w:type="spellStart"/>
      <w:r>
        <w:rPr>
          <w:rFonts w:ascii="Arial" w:hAnsi="Arial" w:cs="Arial"/>
          <w:sz w:val="20"/>
          <w:szCs w:val="20"/>
        </w:rPr>
        <w:t>дБВт</w:t>
      </w:r>
      <w:proofErr w:type="spellEnd"/>
      <w:r>
        <w:rPr>
          <w:rFonts w:ascii="Arial" w:hAnsi="Arial" w:cs="Arial"/>
          <w:sz w:val="20"/>
          <w:szCs w:val="20"/>
        </w:rPr>
        <w:t xml:space="preserve"> при их использовании внутри помещений;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полосе радиочастот 9 - 315 кГц с максимальной напряженностью магнитного поля 30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8" w:name="Par327"/>
      <w:bookmarkEnd w:id="48"/>
      <w:r>
        <w:rPr>
          <w:rFonts w:ascii="Arial" w:hAnsi="Arial" w:cs="Arial"/>
          <w:sz w:val="20"/>
          <w:szCs w:val="20"/>
        </w:rPr>
        <w:t>40. Устройства для измерения уровней жидкостей: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4,8 - 7 ГГц с максимальной мощностью излучения не более минус 60 </w:t>
      </w:r>
      <w:proofErr w:type="spellStart"/>
      <w:r>
        <w:rPr>
          <w:rFonts w:ascii="Arial" w:hAnsi="Arial" w:cs="Arial"/>
          <w:sz w:val="20"/>
          <w:szCs w:val="20"/>
        </w:rPr>
        <w:t>дБВт</w:t>
      </w:r>
      <w:proofErr w:type="spellEnd"/>
      <w:r>
        <w:rPr>
          <w:rFonts w:ascii="Arial" w:hAnsi="Arial" w:cs="Arial"/>
          <w:sz w:val="20"/>
          <w:szCs w:val="20"/>
        </w:rPr>
        <w:t xml:space="preserve"> и эквивалентной изотропно-излучаемой мощностью не более минус 49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10,5 - 10,6 ГГц с эквивалентной изотропно-излучаемой мощностью не более минус 20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24,056 - 26,5 ГГц с эквивалентной изотропно-излучаемой мощностью не более 4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9" w:name="Par331"/>
      <w:bookmarkEnd w:id="49"/>
      <w:r>
        <w:rPr>
          <w:rFonts w:ascii="Arial" w:hAnsi="Arial" w:cs="Arial"/>
          <w:sz w:val="20"/>
          <w:szCs w:val="20"/>
        </w:rPr>
        <w:t xml:space="preserve">41. Локаторы (измерители) нелинейностей в полосах радиочастот 2404 - 2472 МГц, 902 - 928 МГц с эквивалентной изотропно-излучаемой мощностью не более 5,2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50" w:name="Par332"/>
      <w:bookmarkEnd w:id="50"/>
      <w:r>
        <w:rPr>
          <w:rFonts w:ascii="Arial" w:hAnsi="Arial" w:cs="Arial"/>
          <w:sz w:val="20"/>
          <w:szCs w:val="20"/>
        </w:rPr>
        <w:t>42. Радиоэлектронные средства телемеханической системы контроля бодрствования машиниста в полосе радиочастот 1675 - 1725 МГц с максимальной мощностью передатчика 1 мВт.</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pBdr>
          <w:top w:val="single" w:sz="6" w:space="0" w:color="auto"/>
        </w:pBdr>
        <w:autoSpaceDE w:val="0"/>
        <w:autoSpaceDN w:val="0"/>
        <w:adjustRightInd w:val="0"/>
        <w:spacing w:before="100" w:after="100" w:line="240" w:lineRule="auto"/>
        <w:jc w:val="both"/>
        <w:rPr>
          <w:rFonts w:ascii="Arial" w:hAnsi="Arial" w:cs="Arial"/>
          <w:sz w:val="2"/>
          <w:szCs w:val="2"/>
        </w:rPr>
      </w:pPr>
    </w:p>
    <w:p w:rsidR="005D2B34" w:rsidRPr="007E0023" w:rsidRDefault="005D2B34" w:rsidP="007E0023"/>
    <w:sectPr w:rsidR="005D2B34" w:rsidRPr="007E0023" w:rsidSect="000907A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3"/>
    <w:rsid w:val="000E64D7"/>
    <w:rsid w:val="002B677F"/>
    <w:rsid w:val="00400C89"/>
    <w:rsid w:val="005D2B34"/>
    <w:rsid w:val="00682AC2"/>
    <w:rsid w:val="007047A6"/>
    <w:rsid w:val="007E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CF713B028D241F6BC3B0F1E149F0B6BE91962BCE4B6403CC3434EC36E551B8A15BDE25FBD43EEEF38A051u928F" TargetMode="External"/><Relationship Id="rId13" Type="http://schemas.openxmlformats.org/officeDocument/2006/relationships/hyperlink" Target="consultantplus://offline/ref=32BCF713B028D241F6BC3B0F1E149F0B6FEC1E66B2EBEB4A349A4F4CC4610A1E9F04E5EE5CA15CEEF024A2539BuC2FF" TargetMode="External"/><Relationship Id="rId18" Type="http://schemas.openxmlformats.org/officeDocument/2006/relationships/hyperlink" Target="consultantplus://offline/ref=32BCF713B028D241F6BC3B0F1E149F0B6CE81B67BAE7EB4A349A4F4CC4610A1E8D04BDE25DA342EAF731F402DD9BC6CDC03701A55829C998uA2FF" TargetMode="External"/><Relationship Id="rId26" Type="http://schemas.openxmlformats.org/officeDocument/2006/relationships/hyperlink" Target="consultantplus://offline/ref=32BCF713B028D241F6BC3B0F1E149F0B6DE01A65BBE8EB4A349A4F4CC4610A1E9F04E5EE5CA15CEEF024A2539BuC2FF" TargetMode="External"/><Relationship Id="rId3" Type="http://schemas.openxmlformats.org/officeDocument/2006/relationships/settings" Target="settings.xml"/><Relationship Id="rId21" Type="http://schemas.openxmlformats.org/officeDocument/2006/relationships/hyperlink" Target="consultantplus://offline/ref=32BCF713B028D241F6BC3B0F1E149F0B6DE01564BDECEB4A349A4F4CC4610A1E8D04BDE25DA342EDF331F402DD9BC6CDC03701A55829C998uA2FF" TargetMode="External"/><Relationship Id="rId7" Type="http://schemas.openxmlformats.org/officeDocument/2006/relationships/hyperlink" Target="consultantplus://offline/ref=32BCF713B028D241F6BC3B0F1E149F0B6DE01865BFE6EB4A349A4F4CC4610A1E9F04E5EE5CA15CEEF024A2539BuC2FF" TargetMode="External"/><Relationship Id="rId12" Type="http://schemas.openxmlformats.org/officeDocument/2006/relationships/hyperlink" Target="consultantplus://offline/ref=32BCF713B028D241F6BC3B0F1E149F0B6FEA1960BDE9EB4A349A4F4CC4610A1E9F04E5EE5CA15CEEF024A2539BuC2FF" TargetMode="External"/><Relationship Id="rId17" Type="http://schemas.openxmlformats.org/officeDocument/2006/relationships/hyperlink" Target="consultantplus://offline/ref=32BCF713B028D241F6BC3B0F1E149F0B6CE81C67B2EBEB4A349A4F4CC4610A1E8D04BDE25DA342EFF731F402DD9BC6CDC03701A55829C998uA2FF" TargetMode="External"/><Relationship Id="rId25" Type="http://schemas.openxmlformats.org/officeDocument/2006/relationships/hyperlink" Target="consultantplus://offline/ref=32BCF713B028D241F6BC3B0F1E149F0B6DEF1E61BDEAEB4A349A4F4CC4610A1E8D04BDE25DA342EEF231F402DD9BC6CDC03701A55829C998uA2FF" TargetMode="External"/><Relationship Id="rId2" Type="http://schemas.microsoft.com/office/2007/relationships/stylesWithEffects" Target="stylesWithEffects.xml"/><Relationship Id="rId16" Type="http://schemas.openxmlformats.org/officeDocument/2006/relationships/hyperlink" Target="consultantplus://offline/ref=32BCF713B028D241F6BC3B0F1E149F0B6FE11C62BDECEB4A349A4F4CC4610A1E9F04E5EE5CA15CEEF024A2539BuC2FF" TargetMode="External"/><Relationship Id="rId20" Type="http://schemas.openxmlformats.org/officeDocument/2006/relationships/hyperlink" Target="consultantplus://offline/ref=32BCF713B028D241F6BC3B0F1E149F0B6CE01861BDECEB4A349A4F4CC4610A1E8D04BDE25DA342EEF531F402DD9BC6CDC03701A55829C998uA2FF" TargetMode="External"/><Relationship Id="rId1" Type="http://schemas.openxmlformats.org/officeDocument/2006/relationships/styles" Target="styles.xml"/><Relationship Id="rId6" Type="http://schemas.openxmlformats.org/officeDocument/2006/relationships/hyperlink" Target="consultantplus://offline/ref=32BCF713B028D241F6BC3B0F1E149F0B6DE01466BDE8EB4A349A4F4CC4610A1E8D04BDE25CA049BBA07EF55E98CCD5CDC33702A444u22AF" TargetMode="External"/><Relationship Id="rId11" Type="http://schemas.openxmlformats.org/officeDocument/2006/relationships/hyperlink" Target="consultantplus://offline/ref=32BCF713B028D241F6BC3B0F1E149F0B6FEA1D66BEEEEB4A349A4F4CC4610A1E9F04E5EE5CA15CEEF024A2539BuC2FF" TargetMode="External"/><Relationship Id="rId24" Type="http://schemas.openxmlformats.org/officeDocument/2006/relationships/hyperlink" Target="consultantplus://offline/ref=32BCF713B028D241F6BC3B0F1E149F0B6DE11566BDEFEB4A349A4F4CC4610A1E8D04BDE25DA243EDF931F402DD9BC6CDC03701A55829C998uA2F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2BCF713B028D241F6BC3B0F1E149F0B6FEF1C66BEEBEB4A349A4F4CC4610A1E9F04E5EE5CA15CEEF024A2539BuC2FF" TargetMode="External"/><Relationship Id="rId23" Type="http://schemas.openxmlformats.org/officeDocument/2006/relationships/hyperlink" Target="consultantplus://offline/ref=32BCF713B028D241F6BC3B0F1E149F0B6DE01B69BFEAEB4A349A4F4CC4610A1E8D04BDE25DA342E9F531F402DD9BC6CDC03701A55829C998uA2FF" TargetMode="External"/><Relationship Id="rId28" Type="http://schemas.openxmlformats.org/officeDocument/2006/relationships/theme" Target="theme/theme1.xml"/><Relationship Id="rId10" Type="http://schemas.openxmlformats.org/officeDocument/2006/relationships/hyperlink" Target="consultantplus://offline/ref=32BCF713B028D241F6BC3B0F1E149F0B67E01B66BAE4B6403CC3434EC36E55098A4DB1E35DA343EBFA6EF117CCC3CACEDC2801BA442BCBu92BF" TargetMode="External"/><Relationship Id="rId19" Type="http://schemas.openxmlformats.org/officeDocument/2006/relationships/hyperlink" Target="consultantplus://offline/ref=32BCF713B028D241F6BC3B0F1E149F0B6CEA1D60B2EAEB4A349A4F4CC4610A1E8D04BDE25DA342EFF731F402DD9BC6CDC03701A55829C998uA2FF" TargetMode="External"/><Relationship Id="rId4" Type="http://schemas.openxmlformats.org/officeDocument/2006/relationships/webSettings" Target="webSettings.xml"/><Relationship Id="rId9" Type="http://schemas.openxmlformats.org/officeDocument/2006/relationships/hyperlink" Target="consultantplus://offline/ref=32BCF713B028D241F6BC3B0F1E149F0B6FEE1E65BCE9EB4A349A4F4CC4610A1E8D04BDE25DA342EEF231F402DD9BC6CDC03701A55829C998uA2FF" TargetMode="External"/><Relationship Id="rId14" Type="http://schemas.openxmlformats.org/officeDocument/2006/relationships/hyperlink" Target="consultantplus://offline/ref=32BCF713B028D241F6BC3B0F1E149F0B6DED1560BDE6EB4A349A4F4CC4610A1E8D04BDE25DA342EEF631F402DD9BC6CDC03701A55829C998uA2FF" TargetMode="External"/><Relationship Id="rId22" Type="http://schemas.openxmlformats.org/officeDocument/2006/relationships/hyperlink" Target="consultantplus://offline/ref=32BCF713B028D241F6BC3B0F1E149F0B6DE91962B9EDEB4A349A4F4CC4610A1E9F04E5EE5CA15CEEF024A2539BuC2F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8941</Words>
  <Characters>50968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Иркутской области</Company>
  <LinksUpToDate>false</LinksUpToDate>
  <CharactersWithSpaces>59790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Виталий Иванович</dc:creator>
  <cp:lastModifiedBy>Нонна Юсуфовна Никитина</cp:lastModifiedBy>
  <cp:revision>2</cp:revision>
  <dcterms:created xsi:type="dcterms:W3CDTF">2022-08-04T06:05:00Z</dcterms:created>
  <dcterms:modified xsi:type="dcterms:W3CDTF">2022-08-04T06:05:00Z</dcterms:modified>
</cp:coreProperties>
</file>